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BEAB2" w14:textId="77777777" w:rsidR="00E539F6" w:rsidRDefault="00EB6F0C">
      <w:pPr>
        <w:pStyle w:val="Heading1"/>
        <w:ind w:left="36" w:right="2"/>
      </w:pPr>
      <w:r>
        <w:rPr>
          <w:sz w:val="24"/>
        </w:rPr>
        <w:t>B</w:t>
      </w:r>
      <w:r>
        <w:t>USINESS</w:t>
      </w:r>
      <w:r>
        <w:rPr>
          <w:sz w:val="24"/>
        </w:rPr>
        <w:t xml:space="preserve"> J</w:t>
      </w:r>
      <w:r>
        <w:t>USTIFICATION FOR</w:t>
      </w:r>
      <w:r>
        <w:rPr>
          <w:sz w:val="24"/>
        </w:rPr>
        <w:t xml:space="preserve"> </w:t>
      </w:r>
      <w:r>
        <w:t>THE</w:t>
      </w:r>
      <w:r>
        <w:rPr>
          <w:sz w:val="24"/>
        </w:rPr>
        <w:t xml:space="preserve"> </w:t>
      </w:r>
      <w:r>
        <w:t>DEVELOPMENT</w:t>
      </w:r>
      <w:r>
        <w:rPr>
          <w:sz w:val="24"/>
        </w:rPr>
        <w:t xml:space="preserve"> </w:t>
      </w:r>
      <w:r>
        <w:t>OF</w:t>
      </w:r>
      <w:r>
        <w:rPr>
          <w:sz w:val="24"/>
        </w:rPr>
        <w:t xml:space="preserve"> </w:t>
      </w:r>
      <w:r>
        <w:t>NEW</w:t>
      </w:r>
      <w:r>
        <w:rPr>
          <w:sz w:val="24"/>
        </w:rPr>
        <w:t xml:space="preserve"> ISO 20022 </w:t>
      </w:r>
      <w:r>
        <w:t>FINANCIAL</w:t>
      </w:r>
      <w:r>
        <w:rPr>
          <w:sz w:val="24"/>
        </w:rPr>
        <w:t xml:space="preserve"> </w:t>
      </w:r>
      <w:r>
        <w:t>REPOSITORY</w:t>
      </w:r>
      <w:r>
        <w:rPr>
          <w:sz w:val="24"/>
        </w:rPr>
        <w:t xml:space="preserve"> </w:t>
      </w:r>
      <w:r>
        <w:t>ITEMS</w:t>
      </w:r>
    </w:p>
    <w:p w14:paraId="415501FD" w14:textId="77777777" w:rsidR="00C64557" w:rsidRPr="00C64557" w:rsidRDefault="00C64557" w:rsidP="00C64557"/>
    <w:p w14:paraId="058BC14B" w14:textId="6E0C7CB1" w:rsidR="00E539F6" w:rsidRDefault="00EB6F0C" w:rsidP="002F3191">
      <w:pPr>
        <w:pStyle w:val="ListParagraph"/>
        <w:numPr>
          <w:ilvl w:val="0"/>
          <w:numId w:val="7"/>
        </w:numPr>
        <w:spacing w:after="127" w:line="251" w:lineRule="auto"/>
        <w:ind w:left="360" w:right="0"/>
      </w:pPr>
      <w:r w:rsidRPr="002233D5">
        <w:rPr>
          <w:b/>
        </w:rPr>
        <w:t>Name of the request:</w:t>
      </w:r>
    </w:p>
    <w:p w14:paraId="133F18AA" w14:textId="74498566" w:rsidR="002233D5" w:rsidRDefault="00EB6F0C" w:rsidP="002233D5">
      <w:pPr>
        <w:spacing w:after="6" w:line="359" w:lineRule="auto"/>
        <w:ind w:left="0" w:firstLine="0"/>
      </w:pPr>
      <w:r>
        <w:t>Secure Tokenised Asset Transfer (STAT)</w:t>
      </w:r>
    </w:p>
    <w:p w14:paraId="731B75F7" w14:textId="77777777" w:rsidR="00F61A03" w:rsidRDefault="00F61A03" w:rsidP="002233D5">
      <w:pPr>
        <w:spacing w:after="6" w:line="359" w:lineRule="auto"/>
        <w:ind w:left="0" w:firstLine="0"/>
      </w:pPr>
    </w:p>
    <w:p w14:paraId="5D82FD03" w14:textId="4AE87A9E" w:rsidR="00E539F6" w:rsidRDefault="00EB6F0C" w:rsidP="002F3191">
      <w:pPr>
        <w:pStyle w:val="ListParagraph"/>
        <w:numPr>
          <w:ilvl w:val="0"/>
          <w:numId w:val="7"/>
        </w:numPr>
        <w:spacing w:after="6" w:line="359" w:lineRule="auto"/>
        <w:ind w:left="360"/>
      </w:pPr>
      <w:r w:rsidRPr="002233D5">
        <w:rPr>
          <w:b/>
        </w:rPr>
        <w:t>Submitting organisation(s):</w:t>
      </w:r>
    </w:p>
    <w:p w14:paraId="053140B9" w14:textId="301A194E" w:rsidR="00E539F6" w:rsidRDefault="00EB6F0C">
      <w:pPr>
        <w:ind w:right="0"/>
      </w:pPr>
      <w:r>
        <w:t>Digital Transfer Solutions Ltd</w:t>
      </w:r>
    </w:p>
    <w:p w14:paraId="2A8E4C83" w14:textId="77777777" w:rsidR="00F61A03" w:rsidRDefault="00F61A03">
      <w:pPr>
        <w:ind w:right="0"/>
      </w:pPr>
    </w:p>
    <w:p w14:paraId="4D8CAA82" w14:textId="77777777" w:rsidR="00E539F6" w:rsidRDefault="00EB6F0C" w:rsidP="002F3191">
      <w:pPr>
        <w:pStyle w:val="ListParagraph"/>
        <w:numPr>
          <w:ilvl w:val="0"/>
          <w:numId w:val="7"/>
        </w:numPr>
        <w:spacing w:after="127" w:line="251" w:lineRule="auto"/>
        <w:ind w:left="360" w:right="0"/>
      </w:pPr>
      <w:r w:rsidRPr="002F3191">
        <w:rPr>
          <w:b/>
        </w:rPr>
        <w:t xml:space="preserve">Scope of the new development: </w:t>
      </w:r>
    </w:p>
    <w:p w14:paraId="39CCB0A3" w14:textId="57C4988F" w:rsidR="00751E82" w:rsidRDefault="00072FCA" w:rsidP="00751E82">
      <w:pPr>
        <w:suppressAutoHyphens/>
        <w:spacing w:line="250" w:lineRule="auto"/>
        <w:ind w:right="0"/>
        <w:rPr>
          <w:b/>
          <w:bCs/>
        </w:rPr>
      </w:pPr>
      <w:r>
        <w:t xml:space="preserve">Proposed </w:t>
      </w:r>
      <w:r w:rsidRPr="00203B68">
        <w:rPr>
          <w:b/>
          <w:bCs/>
        </w:rPr>
        <w:t>m</w:t>
      </w:r>
      <w:r w:rsidR="00751E82" w:rsidRPr="00203B68">
        <w:rPr>
          <w:b/>
          <w:bCs/>
        </w:rPr>
        <w:t>essage set</w:t>
      </w:r>
      <w:r w:rsidR="00751E82">
        <w:t xml:space="preserve">: </w:t>
      </w:r>
      <w:r w:rsidR="00000000">
        <w:t>Secure Tokenised Asset Transfer (STAT)</w:t>
      </w:r>
      <w:r>
        <w:t xml:space="preserve"> </w:t>
      </w:r>
    </w:p>
    <w:p w14:paraId="78B8167F" w14:textId="1754D3F7" w:rsidR="00751E82" w:rsidRDefault="00751E82" w:rsidP="00751E82">
      <w:pPr>
        <w:suppressAutoHyphens/>
        <w:spacing w:line="250" w:lineRule="auto"/>
        <w:ind w:right="0"/>
        <w:rPr>
          <w:b/>
          <w:bCs/>
        </w:rPr>
      </w:pPr>
      <w:r w:rsidRPr="00203B68">
        <w:t>Number of candidate messages</w:t>
      </w:r>
      <w:r w:rsidR="000C7E21" w:rsidRPr="00203B68">
        <w:t xml:space="preserve"> definitions to be developed:</w:t>
      </w:r>
      <w:r w:rsidR="000C7E21">
        <w:rPr>
          <w:b/>
          <w:bCs/>
        </w:rPr>
        <w:t xml:space="preserve"> 9 message definitions</w:t>
      </w:r>
    </w:p>
    <w:p w14:paraId="2CD6D7AF" w14:textId="7E015820" w:rsidR="00751E82" w:rsidRPr="00793070" w:rsidRDefault="00751E82" w:rsidP="00751E82">
      <w:pPr>
        <w:suppressAutoHyphens/>
        <w:spacing w:line="250" w:lineRule="auto"/>
        <w:ind w:right="0"/>
        <w:rPr>
          <w:b/>
          <w:bCs/>
        </w:rPr>
      </w:pPr>
      <w:r w:rsidRPr="00793070">
        <w:rPr>
          <w:b/>
          <w:bCs/>
        </w:rPr>
        <w:t xml:space="preserve">Business area </w:t>
      </w:r>
      <w:r w:rsidRPr="00203B68">
        <w:t>for the candidate messages:</w:t>
      </w:r>
      <w:r w:rsidRPr="00793070">
        <w:rPr>
          <w:b/>
          <w:bCs/>
        </w:rPr>
        <w:t xml:space="preserve"> </w:t>
      </w:r>
      <w:r w:rsidRPr="00BD789E">
        <w:t>Secure Tokenised Asset Transfer</w:t>
      </w:r>
      <w:r w:rsidRPr="00793070">
        <w:rPr>
          <w:b/>
          <w:bCs/>
        </w:rPr>
        <w:t xml:space="preserve"> (</w:t>
      </w:r>
      <w:r w:rsidR="00203B68">
        <w:rPr>
          <w:b/>
          <w:bCs/>
        </w:rPr>
        <w:t>stat</w:t>
      </w:r>
      <w:r w:rsidRPr="00793070">
        <w:rPr>
          <w:b/>
          <w:bCs/>
        </w:rPr>
        <w:t>)</w:t>
      </w:r>
    </w:p>
    <w:p w14:paraId="28762B00" w14:textId="77777777" w:rsidR="00E539F6" w:rsidRDefault="00EB6F0C">
      <w:pPr>
        <w:ind w:right="0"/>
      </w:pPr>
      <w:r>
        <w:t xml:space="preserve">For evaluation by </w:t>
      </w:r>
      <w:r w:rsidRPr="005B641C">
        <w:rPr>
          <w:b/>
          <w:bCs/>
        </w:rPr>
        <w:t>Payments</w:t>
      </w:r>
      <w:r>
        <w:t xml:space="preserve">, </w:t>
      </w:r>
      <w:r w:rsidRPr="005B641C">
        <w:rPr>
          <w:b/>
          <w:bCs/>
        </w:rPr>
        <w:t>Securities SEGs</w:t>
      </w:r>
      <w:r>
        <w:t>, as this protocol supports the transfer of tokenised assets including currencies and securities.</w:t>
      </w:r>
    </w:p>
    <w:p w14:paraId="585C5672" w14:textId="7443DCF1" w:rsidR="00E539F6" w:rsidRDefault="00EB6F0C">
      <w:pPr>
        <w:ind w:right="0"/>
      </w:pPr>
      <w:r>
        <w:t xml:space="preserve">The </w:t>
      </w:r>
      <w:r w:rsidRPr="00532EF1">
        <w:rPr>
          <w:b/>
          <w:bCs/>
        </w:rPr>
        <w:t>Business Application Header</w:t>
      </w:r>
      <w:r>
        <w:t xml:space="preserve"> may be used with this </w:t>
      </w:r>
      <w:r w:rsidR="00A06CEC">
        <w:t>protocol but</w:t>
      </w:r>
      <w:r>
        <w:t xml:space="preserve"> is not required.</w:t>
      </w:r>
    </w:p>
    <w:p w14:paraId="696D3D23" w14:textId="057BB9DF" w:rsidR="00E539F6" w:rsidRDefault="00EB6F0C">
      <w:pPr>
        <w:ind w:right="0"/>
      </w:pPr>
      <w:r>
        <w:t xml:space="preserve">Deployment is expected to use </w:t>
      </w:r>
      <w:r w:rsidRPr="005B641C">
        <w:rPr>
          <w:b/>
          <w:bCs/>
        </w:rPr>
        <w:t>XML syntax</w:t>
      </w:r>
      <w:r>
        <w:t>.</w:t>
      </w:r>
    </w:p>
    <w:p w14:paraId="7ED1824E" w14:textId="77777777" w:rsidR="00E36B74" w:rsidRDefault="00E36B74">
      <w:pPr>
        <w:ind w:right="0"/>
      </w:pPr>
    </w:p>
    <w:p w14:paraId="1ECF4CDF" w14:textId="77777777" w:rsidR="00E539F6" w:rsidRDefault="00EB6F0C">
      <w:pPr>
        <w:spacing w:after="0" w:line="359" w:lineRule="auto"/>
        <w:ind w:right="1152"/>
      </w:pPr>
      <w:r>
        <w:t xml:space="preserve">Business processes and information </w:t>
      </w:r>
      <w:proofErr w:type="gramStart"/>
      <w:r>
        <w:t>flows</w:t>
      </w:r>
      <w:proofErr w:type="gramEnd"/>
      <w:r>
        <w:t xml:space="preserve"> for the message set to be created: Asset Issuance &amp; Redemption</w:t>
      </w:r>
    </w:p>
    <w:p w14:paraId="11C4C2BC" w14:textId="77777777" w:rsidR="00E539F6" w:rsidRDefault="00EB6F0C">
      <w:pPr>
        <w:numPr>
          <w:ilvl w:val="1"/>
          <w:numId w:val="1"/>
        </w:numPr>
        <w:ind w:right="0" w:hanging="360"/>
      </w:pPr>
      <w:r>
        <w:t>A Client may request the withdrawal of assets from their Bank or Custodian, which may be a combination of quantities of various denominations.</w:t>
      </w:r>
    </w:p>
    <w:p w14:paraId="446F50DB" w14:textId="77777777" w:rsidR="00E539F6" w:rsidRDefault="00EB6F0C">
      <w:pPr>
        <w:numPr>
          <w:ilvl w:val="1"/>
          <w:numId w:val="1"/>
        </w:numPr>
        <w:ind w:right="0" w:hanging="360"/>
      </w:pPr>
      <w:r>
        <w:t xml:space="preserve">The Bank or Custodian request issuance of the assets from the Mint or Issuer, against reserves and/or in exchange for other redeemable assets in the request. </w:t>
      </w:r>
    </w:p>
    <w:p w14:paraId="7D7DC1FD" w14:textId="77777777" w:rsidR="00E539F6" w:rsidRDefault="00EB6F0C">
      <w:pPr>
        <w:numPr>
          <w:ilvl w:val="1"/>
          <w:numId w:val="1"/>
        </w:numPr>
        <w:ind w:right="0" w:hanging="360"/>
      </w:pPr>
      <w:r>
        <w:t>The Mint or Issuer signs the denominated assets.</w:t>
      </w:r>
    </w:p>
    <w:p w14:paraId="5C87FE58" w14:textId="77777777" w:rsidR="00E539F6" w:rsidRDefault="00EB6F0C">
      <w:pPr>
        <w:numPr>
          <w:ilvl w:val="1"/>
          <w:numId w:val="1"/>
        </w:numPr>
        <w:ind w:right="0" w:hanging="360"/>
      </w:pPr>
      <w:r>
        <w:t>The Bank or Custodian provides the assets to their client.</w:t>
      </w:r>
    </w:p>
    <w:p w14:paraId="6835647C" w14:textId="77777777" w:rsidR="00E539F6" w:rsidRDefault="00EB6F0C">
      <w:pPr>
        <w:ind w:right="0"/>
      </w:pPr>
      <w:r>
        <w:t>Asset Transfer</w:t>
      </w:r>
    </w:p>
    <w:p w14:paraId="635CE62D" w14:textId="77777777" w:rsidR="00E539F6" w:rsidRDefault="00EB6F0C">
      <w:pPr>
        <w:numPr>
          <w:ilvl w:val="1"/>
          <w:numId w:val="1"/>
        </w:numPr>
        <w:ind w:right="0" w:hanging="360"/>
      </w:pPr>
      <w:r>
        <w:t>The Recipient requests the Sender to transfer denominated assets.</w:t>
      </w:r>
    </w:p>
    <w:p w14:paraId="7DF73339" w14:textId="77777777" w:rsidR="00E539F6" w:rsidRDefault="00EB6F0C">
      <w:pPr>
        <w:numPr>
          <w:ilvl w:val="1"/>
          <w:numId w:val="1"/>
        </w:numPr>
        <w:ind w:right="0" w:hanging="360"/>
      </w:pPr>
      <w:r>
        <w:t>The Sender notarises the transfer with the Notary.</w:t>
      </w:r>
    </w:p>
    <w:p w14:paraId="0F74FA9C" w14:textId="77777777" w:rsidR="00E539F6" w:rsidRDefault="00EB6F0C">
      <w:pPr>
        <w:numPr>
          <w:ilvl w:val="1"/>
          <w:numId w:val="1"/>
        </w:numPr>
        <w:spacing w:after="0" w:line="365" w:lineRule="auto"/>
        <w:ind w:right="0" w:hanging="360"/>
      </w:pPr>
      <w:r>
        <w:t>The Sender transfers the notarised asset to the Recipient. Transfer Supervision</w:t>
      </w:r>
    </w:p>
    <w:p w14:paraId="15BEF18A" w14:textId="5235355A" w:rsidR="00E539F6" w:rsidRDefault="00EB6F0C">
      <w:pPr>
        <w:numPr>
          <w:ilvl w:val="1"/>
          <w:numId w:val="1"/>
        </w:numPr>
        <w:ind w:right="0" w:hanging="360"/>
      </w:pPr>
      <w:r>
        <w:t xml:space="preserve">Ledger headers indicate the start of records used to verify asset provenance. Each Notary provides a ledger header to a Supervisory Authority at regular intervals, to ensure integrity of </w:t>
      </w:r>
      <w:r w:rsidR="00C64557">
        <w:t>long-term</w:t>
      </w:r>
      <w:r>
        <w:t xml:space="preserve"> records. </w:t>
      </w:r>
    </w:p>
    <w:p w14:paraId="210D5F7F" w14:textId="77777777" w:rsidR="00A025F4" w:rsidRDefault="00000000">
      <w:pPr>
        <w:spacing w:after="568" w:line="259" w:lineRule="auto"/>
        <w:ind w:left="-1" w:right="-10" w:firstLine="0"/>
      </w:pPr>
      <w:r>
        <w:rPr>
          <w:noProof/>
        </w:rPr>
        <w:lastRenderedPageBreak/>
        <w:drawing>
          <wp:inline distT="0" distB="0" distL="0" distR="0" wp14:anchorId="454301DA" wp14:editId="36AADAB1">
            <wp:extent cx="5690235" cy="4646930"/>
            <wp:effectExtent l="0" t="0" r="0" b="0"/>
            <wp:docPr id="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1"/>
                    <pic:cNvPicPr>
                      <a:picLocks noChangeAspect="1" noChangeArrowheads="1"/>
                    </pic:cNvPicPr>
                  </pic:nvPicPr>
                  <pic:blipFill>
                    <a:blip r:embed="rId12"/>
                    <a:stretch>
                      <a:fillRect/>
                    </a:stretch>
                  </pic:blipFill>
                  <pic:spPr bwMode="auto">
                    <a:xfrm>
                      <a:off x="0" y="0"/>
                      <a:ext cx="5690235" cy="4646930"/>
                    </a:xfrm>
                    <a:prstGeom prst="rect">
                      <a:avLst/>
                    </a:prstGeom>
                    <a:noFill/>
                  </pic:spPr>
                </pic:pic>
              </a:graphicData>
            </a:graphic>
          </wp:inline>
        </w:drawing>
      </w:r>
    </w:p>
    <w:p w14:paraId="46CA2E17" w14:textId="77777777" w:rsidR="00E539F6" w:rsidRDefault="00EB6F0C" w:rsidP="00A06CEC">
      <w:pPr>
        <w:pStyle w:val="ListParagraph"/>
        <w:numPr>
          <w:ilvl w:val="0"/>
          <w:numId w:val="7"/>
        </w:numPr>
        <w:spacing w:after="127" w:line="251" w:lineRule="auto"/>
        <w:ind w:left="360" w:right="0"/>
      </w:pPr>
      <w:r w:rsidRPr="00A06CEC">
        <w:rPr>
          <w:b/>
        </w:rPr>
        <w:t>Purpose of the new development:</w:t>
      </w:r>
    </w:p>
    <w:p w14:paraId="55570929" w14:textId="77777777" w:rsidR="00E539F6" w:rsidRDefault="00EB6F0C">
      <w:pPr>
        <w:ind w:right="0"/>
      </w:pPr>
      <w:r>
        <w:t>The Secure Tokenised Asset Transfer (STAT) message set is intended to:</w:t>
      </w:r>
    </w:p>
    <w:p w14:paraId="07075DD0" w14:textId="77777777" w:rsidR="00E539F6" w:rsidRDefault="00EB6F0C">
      <w:pPr>
        <w:numPr>
          <w:ilvl w:val="1"/>
          <w:numId w:val="2"/>
        </w:numPr>
        <w:spacing w:after="127" w:line="251" w:lineRule="auto"/>
        <w:ind w:right="0" w:hanging="360"/>
      </w:pPr>
      <w:r>
        <w:t xml:space="preserve">Enable </w:t>
      </w:r>
      <w:r>
        <w:rPr>
          <w:b/>
        </w:rPr>
        <w:t>secure, unambiguous transfer of tokenised assets</w:t>
      </w:r>
      <w:r>
        <w:t xml:space="preserve"> between participants</w:t>
      </w:r>
    </w:p>
    <w:p w14:paraId="40A6A7F7" w14:textId="77777777" w:rsidR="00E539F6" w:rsidRDefault="00EB6F0C">
      <w:pPr>
        <w:numPr>
          <w:ilvl w:val="1"/>
          <w:numId w:val="2"/>
        </w:numPr>
        <w:ind w:right="0" w:hanging="360"/>
      </w:pPr>
      <w:r>
        <w:t xml:space="preserve">Express </w:t>
      </w:r>
      <w:r>
        <w:rPr>
          <w:b/>
        </w:rPr>
        <w:t>rights, authority, and transfer conditions</w:t>
      </w:r>
      <w:r>
        <w:t xml:space="preserve"> independently of ledger technology</w:t>
      </w:r>
    </w:p>
    <w:p w14:paraId="5486796F" w14:textId="77777777" w:rsidR="00E539F6" w:rsidRDefault="00EB6F0C">
      <w:pPr>
        <w:numPr>
          <w:ilvl w:val="1"/>
          <w:numId w:val="2"/>
        </w:numPr>
        <w:ind w:right="0" w:hanging="360"/>
      </w:pPr>
      <w:r>
        <w:t xml:space="preserve">Support both </w:t>
      </w:r>
      <w:r>
        <w:rPr>
          <w:b/>
        </w:rPr>
        <w:t>custodial and non-custodial</w:t>
      </w:r>
      <w:r>
        <w:t xml:space="preserve"> holding models</w:t>
      </w:r>
    </w:p>
    <w:p w14:paraId="45ED74D6" w14:textId="77777777" w:rsidR="00E539F6" w:rsidRDefault="00EB6F0C">
      <w:pPr>
        <w:numPr>
          <w:ilvl w:val="1"/>
          <w:numId w:val="2"/>
        </w:numPr>
        <w:ind w:right="0" w:hanging="360"/>
      </w:pPr>
      <w:r>
        <w:t>Facilitate interoperability between distributed ledgers and traditional FMIs</w:t>
      </w:r>
    </w:p>
    <w:p w14:paraId="41A80398" w14:textId="77777777" w:rsidR="00E539F6" w:rsidRDefault="00EB6F0C">
      <w:pPr>
        <w:numPr>
          <w:ilvl w:val="1"/>
          <w:numId w:val="2"/>
        </w:numPr>
        <w:ind w:right="0" w:hanging="360"/>
      </w:pPr>
      <w:r>
        <w:t>Preserve legal clarity and auditability in regulated environments</w:t>
      </w:r>
    </w:p>
    <w:p w14:paraId="11610702" w14:textId="77777777" w:rsidR="00A06CEC" w:rsidRDefault="00EB6F0C" w:rsidP="00A06CEC">
      <w:pPr>
        <w:spacing w:after="76" w:line="299" w:lineRule="auto"/>
        <w:ind w:left="0" w:right="334" w:firstLine="0"/>
      </w:pPr>
      <w:r>
        <w:t>These objectives align with the principle that digital asset systems must minimise implicit trust assumptions by making rights and authority explicit and verifiable.</w:t>
      </w:r>
    </w:p>
    <w:p w14:paraId="1DB373B7" w14:textId="77777777" w:rsidR="00A025F4" w:rsidRDefault="00000000" w:rsidP="008D25B2">
      <w:pPr>
        <w:numPr>
          <w:ilvl w:val="1"/>
          <w:numId w:val="8"/>
        </w:numPr>
        <w:suppressAutoHyphens/>
        <w:spacing w:after="76" w:line="300" w:lineRule="auto"/>
        <w:ind w:left="720" w:right="334"/>
      </w:pPr>
      <w:r>
        <w:rPr>
          <w:i/>
          <w:iCs/>
        </w:rPr>
        <w:t xml:space="preserve">Our most salient value proposition is support for self-custody assets in non-custodial wallets, subject to (a) separating issuance, settlement finality, and accounting functions so that they can be performed by different actors, possibly subject to different regulatory requirements, and (b) eliminating economic externalities, for example, those that result from requirements for data </w:t>
      </w:r>
      <w:r>
        <w:rPr>
          <w:i/>
          <w:iCs/>
        </w:rPr>
        <w:lastRenderedPageBreak/>
        <w:t xml:space="preserve">availability or multiparty execution of software code, that in turn must be subsidised or recovered by end-users.  The current reality of tokenised asset transfers falls into two categories: </w:t>
      </w:r>
      <w:r>
        <w:rPr>
          <w:b/>
          <w:bCs/>
          <w:i/>
          <w:iCs/>
        </w:rPr>
        <w:t>account-based transfers</w:t>
      </w:r>
      <w:r>
        <w:rPr>
          <w:i/>
          <w:iCs/>
        </w:rPr>
        <w:t xml:space="preserve">, which fall outside our domain, and </w:t>
      </w:r>
      <w:r>
        <w:rPr>
          <w:b/>
          <w:bCs/>
          <w:i/>
          <w:iCs/>
        </w:rPr>
        <w:t>transfers of self-custody assets</w:t>
      </w:r>
      <w:r>
        <w:rPr>
          <w:i/>
          <w:iCs/>
        </w:rPr>
        <w:t>, which are currently monolithic and suffer from economic externalities.</w:t>
      </w:r>
    </w:p>
    <w:p w14:paraId="086AFD83" w14:textId="77777777" w:rsidR="00A025F4" w:rsidRDefault="00000000" w:rsidP="008D25B2">
      <w:pPr>
        <w:numPr>
          <w:ilvl w:val="1"/>
          <w:numId w:val="8"/>
        </w:numPr>
        <w:suppressAutoHyphens/>
        <w:spacing w:after="76" w:line="300" w:lineRule="auto"/>
        <w:ind w:left="720" w:right="334"/>
      </w:pPr>
      <w:r>
        <w:rPr>
          <w:i/>
          <w:iCs/>
        </w:rPr>
        <w:t xml:space="preserve">For </w:t>
      </w:r>
      <w:r>
        <w:rPr>
          <w:b/>
          <w:bCs/>
          <w:i/>
          <w:iCs/>
        </w:rPr>
        <w:t>account-based transfers</w:t>
      </w:r>
      <w:r>
        <w:rPr>
          <w:i/>
          <w:iCs/>
        </w:rPr>
        <w:t>: Transactions of digital assets involve a state change on a distributed ledger technology (DLT) system.  Assets are typically represented as immutable objects representing "unspent transaction output" (UTXO, as in Bitcoin), or balances associated with addresses (as in Ethereum).  Settlement finality is generally near-instantaneous (a matter of seconds or minutes, for practical purposes). Tokenised asset transfers reconcile compliance requirements with the programmability of digital assets.  Resources are being directed toward standardisation of protocols, regulatory alignment, and collaboration between government and private-sector actors, with the result that DLT-based transfers of tokenised assets are increasingly used by financial institutions, with fastest adoption in wholesale contexts [1, 2, 3].</w:t>
      </w:r>
    </w:p>
    <w:p w14:paraId="0B8C4FC1" w14:textId="77777777" w:rsidR="00A025F4" w:rsidRDefault="00000000" w:rsidP="008D25B2">
      <w:pPr>
        <w:spacing w:after="76" w:line="300" w:lineRule="auto"/>
        <w:ind w:left="720" w:right="334" w:firstLine="0"/>
      </w:pPr>
      <w:r>
        <w:rPr>
          <w:i/>
          <w:iCs/>
        </w:rPr>
        <w:t>Relevant international standards include ISO 22739 (Blockchain and DLT -- Vocabulary), ISO 23257 (Blockchain and DLT -- Reference architecture), IEC 63088 (Digital Asset Management Interoperability), IOSCO FR/17/2025 Guidance, and the FATF Guidance on Virtual Assets. These standards address various technical and operational aspects for the transfer of tokenised assets, including guidance for custody and interoperability between jurisdictions [4, 5, 6].</w:t>
      </w:r>
    </w:p>
    <w:p w14:paraId="20DC4554" w14:textId="77777777" w:rsidR="00A025F4" w:rsidRDefault="00000000" w:rsidP="008D25B2">
      <w:pPr>
        <w:numPr>
          <w:ilvl w:val="1"/>
          <w:numId w:val="8"/>
        </w:numPr>
        <w:suppressAutoHyphens/>
        <w:spacing w:after="76" w:line="300" w:lineRule="auto"/>
        <w:ind w:left="720" w:right="334"/>
      </w:pPr>
      <w:r>
        <w:rPr>
          <w:i/>
          <w:iCs/>
        </w:rPr>
        <w:t xml:space="preserve">For </w:t>
      </w:r>
      <w:r>
        <w:rPr>
          <w:b/>
          <w:bCs/>
          <w:i/>
          <w:iCs/>
        </w:rPr>
        <w:t>self-custody assets in non-custodial wallets</w:t>
      </w:r>
      <w:r>
        <w:rPr>
          <w:i/>
          <w:iCs/>
        </w:rPr>
        <w:t xml:space="preserve">: Tokenised asset transfer depends on both protocol-level standards and regulatory-compliant designs. Most existing non-custodial wallets are designed primarily for use with assets that are represented directly </w:t>
      </w:r>
      <w:proofErr w:type="gramStart"/>
      <w:r>
        <w:rPr>
          <w:i/>
          <w:iCs/>
        </w:rPr>
        <w:t>on-ledger</w:t>
      </w:r>
      <w:proofErr w:type="gramEnd"/>
      <w:r>
        <w:rPr>
          <w:i/>
          <w:iCs/>
        </w:rPr>
        <w:t xml:space="preserve"> (in contrast to our design, wherein the ledger is used only for verification of state changes).  The key elements include on-chain transfer mechanisms, token standards, smart contract rules, and interoperability layers.</w:t>
      </w:r>
    </w:p>
    <w:p w14:paraId="3D5C736B" w14:textId="77777777" w:rsidR="00A025F4" w:rsidRDefault="00000000" w:rsidP="008D25B2">
      <w:pPr>
        <w:spacing w:after="76" w:line="300" w:lineRule="auto"/>
        <w:ind w:left="720" w:right="334" w:firstLine="0"/>
      </w:pPr>
      <w:r>
        <w:rPr>
          <w:i/>
          <w:iCs/>
        </w:rPr>
        <w:t>Self-custody rights in existing systems are typically enforced via wallet signature verification, with wallets acting as a mechanism for accessing and managing account-based funds.  Wallets may include support for carrying and transacting "non-fungible tokens", which are unique digital assets.  Tokenised vault standards, such as EIP-4626, can ensure that transfers satisfy compliance rules in cases wherein assets are consummated in the absence of financial institutions.</w:t>
      </w:r>
    </w:p>
    <w:p w14:paraId="1EC4A9CA" w14:textId="77777777" w:rsidR="00A025F4" w:rsidRDefault="00000000" w:rsidP="008D25B2">
      <w:pPr>
        <w:spacing w:after="76" w:line="300" w:lineRule="auto"/>
        <w:ind w:left="720" w:right="334" w:firstLine="0"/>
      </w:pPr>
      <w:r>
        <w:rPr>
          <w:i/>
          <w:iCs/>
        </w:rPr>
        <w:t xml:space="preserve">In most existing self-custody designs, the self-custody component relates to keys that control the movement of assets that are represented on a ledger, rather than </w:t>
      </w:r>
      <w:r>
        <w:rPr>
          <w:i/>
          <w:iCs/>
        </w:rPr>
        <w:lastRenderedPageBreak/>
        <w:t xml:space="preserve">the assets themselves.  Our system differs significantly from this approach, using the ledger </w:t>
      </w:r>
      <w:proofErr w:type="gramStart"/>
      <w:r>
        <w:rPr>
          <w:i/>
          <w:iCs/>
        </w:rPr>
        <w:t>as a way to</w:t>
      </w:r>
      <w:proofErr w:type="gramEnd"/>
      <w:r>
        <w:rPr>
          <w:i/>
          <w:iCs/>
        </w:rPr>
        <w:t xml:space="preserve"> validate asset transfers that take place </w:t>
      </w:r>
      <w:proofErr w:type="gramStart"/>
      <w:r>
        <w:rPr>
          <w:i/>
          <w:iCs/>
        </w:rPr>
        <w:t>off-ledger</w:t>
      </w:r>
      <w:proofErr w:type="gramEnd"/>
      <w:r>
        <w:rPr>
          <w:i/>
          <w:iCs/>
        </w:rPr>
        <w:t>, with assets held as data objects directly by end-users.  See references for more information [7, 8, 9, 10].</w:t>
      </w:r>
    </w:p>
    <w:p w14:paraId="79B25CA8" w14:textId="77777777" w:rsidR="00A025F4" w:rsidRDefault="00000000" w:rsidP="008D25B2">
      <w:pPr>
        <w:spacing w:after="76" w:line="300" w:lineRule="auto"/>
        <w:ind w:left="720" w:right="334" w:firstLine="0"/>
      </w:pPr>
      <w:r>
        <w:rPr>
          <w:i/>
          <w:iCs/>
        </w:rPr>
        <w:t xml:space="preserve">One notable exception to the aforementioned approach to self-custody is the zero-knowledge issuance of tokens that can be transacted once and redeemed by the </w:t>
      </w:r>
      <w:proofErr w:type="gramStart"/>
      <w:r>
        <w:rPr>
          <w:i/>
          <w:iCs/>
        </w:rPr>
        <w:t>recipient,  This</w:t>
      </w:r>
      <w:proofErr w:type="gramEnd"/>
      <w:r>
        <w:rPr>
          <w:i/>
          <w:iCs/>
        </w:rPr>
        <w:t xml:space="preserve"> approach, first described by David Chaum [11] and later elaborated [12], is the basis for several protocols that have realised some commercial adoption, including GNU Taler [13] and Privacy Pass [14].  However, these designs assume that the issuer is the same party that processes transactions and implements any requisite compliance functions.  Our design systematically separates the functions of token issuance, settlement finality, and compliance operations, so that these roles can be performed by distinct parties.</w:t>
      </w:r>
    </w:p>
    <w:p w14:paraId="4A9994AA" w14:textId="77777777" w:rsidR="00A025F4" w:rsidRDefault="00000000" w:rsidP="008D25B2">
      <w:pPr>
        <w:numPr>
          <w:ilvl w:val="1"/>
          <w:numId w:val="8"/>
        </w:numPr>
        <w:suppressAutoHyphens/>
        <w:spacing w:after="76" w:line="300" w:lineRule="auto"/>
        <w:ind w:left="720" w:right="334"/>
      </w:pPr>
      <w:r>
        <w:rPr>
          <w:i/>
          <w:iCs/>
        </w:rPr>
        <w:t>[1] McKinsey, "Tokenized financial assets: From pilot to scale" https://www.mckinsey.com.br/industries/financial-services/our-insights/from-ripples-to-waves-the-transformational-power-of-tokenizing-assets</w:t>
      </w:r>
    </w:p>
    <w:p w14:paraId="00E90C83" w14:textId="77777777" w:rsidR="00A025F4" w:rsidRDefault="00000000" w:rsidP="008D25B2">
      <w:pPr>
        <w:numPr>
          <w:ilvl w:val="1"/>
          <w:numId w:val="8"/>
        </w:numPr>
        <w:suppressAutoHyphens/>
        <w:spacing w:after="76" w:line="300" w:lineRule="auto"/>
        <w:ind w:left="720" w:right="334"/>
      </w:pPr>
      <w:r>
        <w:rPr>
          <w:i/>
          <w:iCs/>
        </w:rPr>
        <w:t>[2] World Economic Forum, "Asset Tokenization in Financial Markets" https://reports.weforum.org/docs/WEF_Asset_Tokenization_in_Financial_Markets_2025.pdf</w:t>
      </w:r>
    </w:p>
    <w:p w14:paraId="0791AD66" w14:textId="77777777" w:rsidR="00A025F4" w:rsidRDefault="00000000" w:rsidP="008D25B2">
      <w:pPr>
        <w:numPr>
          <w:ilvl w:val="1"/>
          <w:numId w:val="8"/>
        </w:numPr>
        <w:suppressAutoHyphens/>
        <w:spacing w:after="76" w:line="300" w:lineRule="auto"/>
        <w:ind w:left="720" w:right="334"/>
      </w:pPr>
      <w:r>
        <w:rPr>
          <w:i/>
          <w:iCs/>
        </w:rPr>
        <w:t>[3] Barclays Investment Bank, "Tokenisation: The next chapter of money's evolution" https://www.ib.barclays/our-insights/tokenisation-the-next-chapter-of-moneys-evolution.html</w:t>
      </w:r>
    </w:p>
    <w:p w14:paraId="7AB5D12F" w14:textId="77777777" w:rsidR="00A025F4" w:rsidRDefault="00000000" w:rsidP="008D25B2">
      <w:pPr>
        <w:numPr>
          <w:ilvl w:val="1"/>
          <w:numId w:val="8"/>
        </w:numPr>
        <w:suppressAutoHyphens/>
        <w:spacing w:after="76" w:line="300" w:lineRule="auto"/>
        <w:ind w:left="720" w:right="334"/>
      </w:pPr>
      <w:r>
        <w:rPr>
          <w:i/>
          <w:iCs/>
        </w:rPr>
        <w:t>[4] https://www.iosco.org/library/pubdocs/pdf/IOSCOPD809.pdf</w:t>
      </w:r>
    </w:p>
    <w:p w14:paraId="2C26E715" w14:textId="77777777" w:rsidR="00A025F4" w:rsidRDefault="00000000" w:rsidP="008D25B2">
      <w:pPr>
        <w:numPr>
          <w:ilvl w:val="1"/>
          <w:numId w:val="8"/>
        </w:numPr>
        <w:suppressAutoHyphens/>
        <w:spacing w:after="76" w:line="300" w:lineRule="auto"/>
        <w:ind w:left="720" w:right="334"/>
      </w:pPr>
      <w:r>
        <w:rPr>
          <w:i/>
          <w:iCs/>
        </w:rPr>
        <w:t>[5] https://www.bis.org/publ/bisbull72.pdf</w:t>
      </w:r>
    </w:p>
    <w:p w14:paraId="6B7BDB2E" w14:textId="77777777" w:rsidR="00A025F4" w:rsidRDefault="00000000" w:rsidP="008D25B2">
      <w:pPr>
        <w:numPr>
          <w:ilvl w:val="1"/>
          <w:numId w:val="8"/>
        </w:numPr>
        <w:suppressAutoHyphens/>
        <w:spacing w:after="76" w:line="300" w:lineRule="auto"/>
        <w:ind w:left="720" w:right="334"/>
      </w:pPr>
      <w:r>
        <w:rPr>
          <w:i/>
          <w:iCs/>
        </w:rPr>
        <w:t>[6] https://brettonwoods.org/wp-content/uploads/2026/03/A-Global-Framework-for-Tokenized-Assets.Final_.pdf</w:t>
      </w:r>
    </w:p>
    <w:p w14:paraId="099469A7" w14:textId="77777777" w:rsidR="00A025F4" w:rsidRDefault="00000000" w:rsidP="008D25B2">
      <w:pPr>
        <w:numPr>
          <w:ilvl w:val="1"/>
          <w:numId w:val="8"/>
        </w:numPr>
        <w:suppressAutoHyphens/>
        <w:spacing w:after="76" w:line="300" w:lineRule="auto"/>
        <w:ind w:left="720" w:right="334"/>
      </w:pPr>
      <w:r>
        <w:rPr>
          <w:i/>
          <w:iCs/>
        </w:rPr>
        <w:t>[7] UK FCA PS26/7, Digital Securities Sandbox (DSS): Regulated DLT-transfer models, direct-to-fund self-custody.</w:t>
      </w:r>
    </w:p>
    <w:p w14:paraId="1DA5DB8D" w14:textId="77777777" w:rsidR="00A025F4" w:rsidRDefault="00000000" w:rsidP="008D25B2">
      <w:pPr>
        <w:numPr>
          <w:ilvl w:val="1"/>
          <w:numId w:val="8"/>
        </w:numPr>
        <w:suppressAutoHyphens/>
        <w:spacing w:after="76" w:line="300" w:lineRule="auto"/>
        <w:ind w:left="720" w:right="334"/>
      </w:pPr>
      <w:r>
        <w:rPr>
          <w:i/>
          <w:iCs/>
        </w:rPr>
        <w:t xml:space="preserve">[8] EU </w:t>
      </w:r>
      <w:proofErr w:type="spellStart"/>
      <w:r>
        <w:rPr>
          <w:i/>
          <w:iCs/>
        </w:rPr>
        <w:t>MiCA</w:t>
      </w:r>
      <w:proofErr w:type="spellEnd"/>
      <w:r>
        <w:rPr>
          <w:i/>
          <w:iCs/>
        </w:rPr>
        <w:t xml:space="preserve"> &amp; DLT Pilot Regime: Licensing, token standards, investor protection for on-chain asset transfer.</w:t>
      </w:r>
    </w:p>
    <w:p w14:paraId="7EE46651" w14:textId="77777777" w:rsidR="00A025F4" w:rsidRDefault="00000000" w:rsidP="008D25B2">
      <w:pPr>
        <w:numPr>
          <w:ilvl w:val="1"/>
          <w:numId w:val="8"/>
        </w:numPr>
        <w:suppressAutoHyphens/>
        <w:spacing w:after="76" w:line="300" w:lineRule="auto"/>
        <w:ind w:left="720" w:right="334"/>
      </w:pPr>
      <w:r>
        <w:rPr>
          <w:i/>
          <w:iCs/>
        </w:rPr>
        <w:t>[9] US SEC &amp; SPV-backed security tokenisation: Legal wrappers enabling self-custody transfer.</w:t>
      </w:r>
    </w:p>
    <w:p w14:paraId="1B36372D" w14:textId="77777777" w:rsidR="00A025F4" w:rsidRDefault="00000000" w:rsidP="008D25B2">
      <w:pPr>
        <w:numPr>
          <w:ilvl w:val="1"/>
          <w:numId w:val="8"/>
        </w:numPr>
        <w:suppressAutoHyphens/>
        <w:spacing w:after="76" w:line="300" w:lineRule="auto"/>
        <w:ind w:left="720" w:right="334"/>
      </w:pPr>
      <w:r>
        <w:rPr>
          <w:i/>
          <w:iCs/>
        </w:rPr>
        <w:t>[10] ERC Token Standards (ERC-20, ERC-721, ERC-1155, ERC-1400): Smart contract protocols for self-custody atomic transfer.</w:t>
      </w:r>
    </w:p>
    <w:p w14:paraId="09EF75AB" w14:textId="77777777" w:rsidR="00A025F4" w:rsidRDefault="00000000" w:rsidP="008D25B2">
      <w:pPr>
        <w:numPr>
          <w:ilvl w:val="1"/>
          <w:numId w:val="8"/>
        </w:numPr>
        <w:suppressAutoHyphens/>
        <w:spacing w:after="76" w:line="300" w:lineRule="auto"/>
        <w:ind w:left="720" w:right="334"/>
      </w:pPr>
      <w:r>
        <w:rPr>
          <w:i/>
          <w:iCs/>
        </w:rPr>
        <w:t xml:space="preserve">[11] D </w:t>
      </w:r>
      <w:proofErr w:type="spellStart"/>
      <w:r>
        <w:rPr>
          <w:i/>
          <w:iCs/>
        </w:rPr>
        <w:t>Chaum</w:t>
      </w:r>
      <w:proofErr w:type="spellEnd"/>
      <w:r>
        <w:rPr>
          <w:i/>
          <w:iCs/>
        </w:rPr>
        <w:t>. “Blind Signatures for Untraceable Payments.”  Advances in Cryptology: Proceedings of Crypto 82(3), 1983, pp. 199-203.</w:t>
      </w:r>
    </w:p>
    <w:p w14:paraId="4281DD10" w14:textId="77777777" w:rsidR="00A025F4" w:rsidRDefault="00000000" w:rsidP="008D25B2">
      <w:pPr>
        <w:numPr>
          <w:ilvl w:val="1"/>
          <w:numId w:val="8"/>
        </w:numPr>
        <w:suppressAutoHyphens/>
        <w:spacing w:after="76" w:line="300" w:lineRule="auto"/>
        <w:ind w:left="720" w:right="334"/>
      </w:pPr>
      <w:r>
        <w:rPr>
          <w:i/>
          <w:iCs/>
        </w:rPr>
        <w:lastRenderedPageBreak/>
        <w:t>[12] D Chaum, C Grothoff, and T Moser.  “How to issue a central bank digital currency.”  Swiss National Bank Working Paper 3/2021, January 2021.</w:t>
      </w:r>
    </w:p>
    <w:p w14:paraId="0B0A94A5" w14:textId="77777777" w:rsidR="00A025F4" w:rsidRPr="000242D4" w:rsidRDefault="00000000" w:rsidP="008D25B2">
      <w:pPr>
        <w:numPr>
          <w:ilvl w:val="1"/>
          <w:numId w:val="8"/>
        </w:numPr>
        <w:suppressAutoHyphens/>
        <w:spacing w:after="76" w:line="300" w:lineRule="auto"/>
        <w:ind w:left="720" w:right="334"/>
        <w:rPr>
          <w:lang w:val="fr-BE"/>
        </w:rPr>
      </w:pPr>
      <w:r>
        <w:rPr>
          <w:i/>
          <w:iCs/>
          <w:lang w:val="fr-FR"/>
        </w:rPr>
        <w:t xml:space="preserve">[13] GNU Taler.  </w:t>
      </w:r>
    </w:p>
    <w:p w14:paraId="2FF52BA6" w14:textId="77777777" w:rsidR="00A025F4" w:rsidRDefault="00000000" w:rsidP="008D25B2">
      <w:pPr>
        <w:numPr>
          <w:ilvl w:val="1"/>
          <w:numId w:val="8"/>
        </w:numPr>
        <w:suppressAutoHyphens/>
        <w:spacing w:after="76" w:line="300" w:lineRule="auto"/>
        <w:ind w:left="720" w:right="334"/>
      </w:pPr>
      <w:r>
        <w:rPr>
          <w:i/>
          <w:iCs/>
        </w:rPr>
        <w:t xml:space="preserve">[14] A Davidson, I Goldberg, N Sullivan, G Tankersley, F </w:t>
      </w:r>
      <w:proofErr w:type="spellStart"/>
      <w:r>
        <w:rPr>
          <w:i/>
          <w:iCs/>
        </w:rPr>
        <w:t>Valsorda</w:t>
      </w:r>
      <w:proofErr w:type="spellEnd"/>
      <w:r>
        <w:rPr>
          <w:i/>
          <w:iCs/>
        </w:rPr>
        <w:t>. “Privacy Pass: Bypassing Internet Challenges Anonymously.” Proceedings on Privacy Enhancing Technologies 3, pp. 164-180.  https://www.petsymposium.org/2018/files/papers/issue3/popets-2018-0026.pdf</w:t>
      </w:r>
    </w:p>
    <w:p w14:paraId="6B985180" w14:textId="77777777" w:rsidR="00A025F4" w:rsidRDefault="00000000" w:rsidP="008D25B2">
      <w:pPr>
        <w:numPr>
          <w:ilvl w:val="0"/>
          <w:numId w:val="8"/>
        </w:numPr>
        <w:suppressAutoHyphens/>
        <w:spacing w:after="76" w:line="300" w:lineRule="auto"/>
        <w:ind w:right="334"/>
        <w:rPr>
          <w:i/>
          <w:iCs/>
        </w:rPr>
      </w:pPr>
      <w:r>
        <w:rPr>
          <w:i/>
          <w:iCs/>
        </w:rPr>
        <w:t>why existing ISO 20022 messages can’t be used (extended) and what are the gaps identified</w:t>
      </w:r>
    </w:p>
    <w:p w14:paraId="4D7B7F4E" w14:textId="77777777" w:rsidR="00A025F4" w:rsidRDefault="00000000" w:rsidP="008D25B2">
      <w:pPr>
        <w:numPr>
          <w:ilvl w:val="1"/>
          <w:numId w:val="8"/>
        </w:numPr>
        <w:suppressAutoHyphens/>
        <w:spacing w:after="76" w:line="300" w:lineRule="auto"/>
        <w:ind w:left="720" w:right="334"/>
        <w:rPr>
          <w:i/>
          <w:iCs/>
        </w:rPr>
      </w:pPr>
      <w:r>
        <w:rPr>
          <w:i/>
          <w:iCs/>
        </w:rPr>
        <w:t>There is no currently registered business process, business transaction nor message definitions that serve this purpose.</w:t>
      </w:r>
    </w:p>
    <w:p w14:paraId="69630F8E" w14:textId="77777777" w:rsidR="002C1587" w:rsidRDefault="002C1587" w:rsidP="00A06CEC">
      <w:pPr>
        <w:spacing w:after="76" w:line="299" w:lineRule="auto"/>
        <w:ind w:left="0" w:right="334" w:firstLine="0"/>
      </w:pPr>
    </w:p>
    <w:p w14:paraId="659EAD7E" w14:textId="73229953" w:rsidR="00E539F6" w:rsidRDefault="00EB6F0C" w:rsidP="00A06CEC">
      <w:pPr>
        <w:pStyle w:val="ListParagraph"/>
        <w:numPr>
          <w:ilvl w:val="0"/>
          <w:numId w:val="7"/>
        </w:numPr>
        <w:spacing w:after="76" w:line="299" w:lineRule="auto"/>
        <w:ind w:left="360" w:right="334"/>
      </w:pPr>
      <w:r w:rsidRPr="00A06CEC">
        <w:rPr>
          <w:b/>
        </w:rPr>
        <w:t>Community of users and benefits:</w:t>
      </w:r>
    </w:p>
    <w:p w14:paraId="13729B5C" w14:textId="77777777" w:rsidR="00E539F6" w:rsidRDefault="00EB6F0C">
      <w:pPr>
        <w:ind w:right="0"/>
      </w:pPr>
      <w:r>
        <w:t>For the community of asset providers and holders:</w:t>
      </w:r>
    </w:p>
    <w:p w14:paraId="2EBED112" w14:textId="77777777" w:rsidR="00E539F6" w:rsidRDefault="00EB6F0C">
      <w:pPr>
        <w:numPr>
          <w:ilvl w:val="0"/>
          <w:numId w:val="3"/>
        </w:numPr>
        <w:ind w:right="0" w:hanging="360"/>
      </w:pPr>
      <w:r>
        <w:t xml:space="preserve">Benefits/savings: </w:t>
      </w:r>
    </w:p>
    <w:p w14:paraId="69675F4D" w14:textId="77777777" w:rsidR="00E539F6" w:rsidRDefault="00EB6F0C">
      <w:pPr>
        <w:numPr>
          <w:ilvl w:val="1"/>
          <w:numId w:val="3"/>
        </w:numPr>
        <w:ind w:right="0" w:hanging="360"/>
      </w:pPr>
      <w:r>
        <w:t>Risk Reduction — Explicit rights and authority semantics reduce ambiguity and operational risk</w:t>
      </w:r>
    </w:p>
    <w:p w14:paraId="3DBFFCEA" w14:textId="77777777" w:rsidR="00E539F6" w:rsidRDefault="00EB6F0C">
      <w:pPr>
        <w:numPr>
          <w:ilvl w:val="1"/>
          <w:numId w:val="3"/>
        </w:numPr>
        <w:ind w:right="0" w:hanging="360"/>
      </w:pPr>
      <w:r>
        <w:t>Interoperability — Standardised messages enable cross platform asset transfer.</w:t>
      </w:r>
    </w:p>
    <w:p w14:paraId="09568516" w14:textId="77777777" w:rsidR="00E539F6" w:rsidRDefault="00EB6F0C">
      <w:pPr>
        <w:numPr>
          <w:ilvl w:val="1"/>
          <w:numId w:val="3"/>
        </w:numPr>
        <w:ind w:right="0" w:hanging="360"/>
      </w:pPr>
      <w:r>
        <w:t>Regulatory Compatibility — Clear semantics support compliance, audit, and legal enforceability.</w:t>
      </w:r>
    </w:p>
    <w:p w14:paraId="573C5BEE" w14:textId="77777777" w:rsidR="00E539F6" w:rsidRDefault="00EB6F0C">
      <w:pPr>
        <w:numPr>
          <w:ilvl w:val="1"/>
          <w:numId w:val="3"/>
        </w:numPr>
        <w:ind w:right="0" w:hanging="360"/>
      </w:pPr>
      <w:r>
        <w:t>Operational Efficiency — Reduced reconciliation and manual intervention.</w:t>
      </w:r>
    </w:p>
    <w:p w14:paraId="419FA97B" w14:textId="77777777" w:rsidR="00E539F6" w:rsidRDefault="00EB6F0C">
      <w:pPr>
        <w:numPr>
          <w:ilvl w:val="1"/>
          <w:numId w:val="3"/>
        </w:numPr>
        <w:ind w:right="0" w:hanging="360"/>
      </w:pPr>
      <w:r>
        <w:t xml:space="preserve">Future Proofing — Ledger agnostic design accommodates evolving tokenisation. </w:t>
      </w:r>
    </w:p>
    <w:p w14:paraId="25359C5E" w14:textId="77777777" w:rsidR="00E539F6" w:rsidRDefault="00EB6F0C">
      <w:pPr>
        <w:numPr>
          <w:ilvl w:val="0"/>
          <w:numId w:val="3"/>
        </w:numPr>
        <w:ind w:right="0" w:hanging="360"/>
      </w:pPr>
      <w:r>
        <w:t xml:space="preserve">Adoption scenario: </w:t>
      </w:r>
    </w:p>
    <w:p w14:paraId="14BC7CF8" w14:textId="77777777" w:rsidR="00E539F6" w:rsidRDefault="00EB6F0C">
      <w:pPr>
        <w:numPr>
          <w:ilvl w:val="1"/>
          <w:numId w:val="3"/>
        </w:numPr>
        <w:ind w:right="0" w:hanging="360"/>
      </w:pPr>
      <w:r>
        <w:t xml:space="preserve">Expect early adoption over the course of 2027, with significant adoption following in 2028; </w:t>
      </w:r>
    </w:p>
    <w:p w14:paraId="1E130020" w14:textId="77777777" w:rsidR="00E539F6" w:rsidRDefault="00EB6F0C">
      <w:pPr>
        <w:numPr>
          <w:ilvl w:val="0"/>
          <w:numId w:val="3"/>
        </w:numPr>
        <w:ind w:right="0" w:hanging="360"/>
      </w:pPr>
      <w:r>
        <w:t xml:space="preserve">Volumes: </w:t>
      </w:r>
    </w:p>
    <w:p w14:paraId="48D877A7" w14:textId="77777777" w:rsidR="00A025F4" w:rsidRDefault="00EB6F0C">
      <w:pPr>
        <w:numPr>
          <w:ilvl w:val="1"/>
          <w:numId w:val="9"/>
        </w:numPr>
        <w:suppressAutoHyphens/>
        <w:spacing w:line="250" w:lineRule="auto"/>
        <w:ind w:right="0" w:hanging="360"/>
      </w:pPr>
      <w:r>
        <w:t>Early adoption by several projects in 2027, with wider rollout over 2028.</w:t>
      </w:r>
    </w:p>
    <w:p w14:paraId="59F890C8" w14:textId="77777777" w:rsidR="00E539F6" w:rsidRDefault="00000000">
      <w:pPr>
        <w:numPr>
          <w:ilvl w:val="1"/>
          <w:numId w:val="3"/>
        </w:numPr>
        <w:ind w:right="0" w:hanging="360"/>
      </w:pPr>
      <w:r>
        <w:t>Estimated number of messages of several billion per year.  We cannot specify the specific projects, because they are commercially sensitive.</w:t>
      </w:r>
      <w:r>
        <w:br/>
      </w:r>
      <w:r w:rsidR="00EB6F0C">
        <w:t xml:space="preserve"> </w:t>
      </w:r>
    </w:p>
    <w:p w14:paraId="2FD73B99" w14:textId="77777777" w:rsidR="00E539F6" w:rsidRDefault="00EB6F0C">
      <w:pPr>
        <w:numPr>
          <w:ilvl w:val="0"/>
          <w:numId w:val="3"/>
        </w:numPr>
        <w:ind w:right="0" w:hanging="360"/>
      </w:pPr>
      <w:r>
        <w:t xml:space="preserve">Sponsors and adopters: </w:t>
      </w:r>
    </w:p>
    <w:p w14:paraId="6F16287B" w14:textId="77777777" w:rsidR="00E539F6" w:rsidRDefault="00EB6F0C">
      <w:pPr>
        <w:numPr>
          <w:ilvl w:val="1"/>
          <w:numId w:val="3"/>
        </w:numPr>
        <w:spacing w:after="549"/>
        <w:ind w:right="0" w:hanging="360"/>
      </w:pPr>
      <w:r>
        <w:t>Digital Asset issuers and digital currency test beds.</w:t>
      </w:r>
    </w:p>
    <w:p w14:paraId="401BF6F6" w14:textId="77777777" w:rsidR="00E539F6" w:rsidRDefault="00EB6F0C" w:rsidP="00A06CEC">
      <w:pPr>
        <w:pStyle w:val="ListParagraph"/>
        <w:numPr>
          <w:ilvl w:val="0"/>
          <w:numId w:val="7"/>
        </w:numPr>
        <w:spacing w:after="127" w:line="251" w:lineRule="auto"/>
        <w:ind w:left="270" w:right="0"/>
      </w:pPr>
      <w:r w:rsidRPr="00A06CEC">
        <w:rPr>
          <w:b/>
        </w:rPr>
        <w:t>Timing and development:</w:t>
      </w:r>
    </w:p>
    <w:p w14:paraId="0BDE1403" w14:textId="77777777" w:rsidR="00E539F6" w:rsidRDefault="00EB6F0C">
      <w:pPr>
        <w:numPr>
          <w:ilvl w:val="1"/>
          <w:numId w:val="4"/>
        </w:numPr>
        <w:ind w:right="0" w:hanging="360"/>
      </w:pPr>
      <w:r>
        <w:rPr>
          <w:b/>
        </w:rPr>
        <w:lastRenderedPageBreak/>
        <w:t>Urgency of the development:</w:t>
      </w:r>
      <w:r>
        <w:t xml:space="preserve"> </w:t>
      </w:r>
      <w:r>
        <w:rPr>
          <w:u w:val="single" w:color="000000"/>
        </w:rPr>
        <w:t>Regular</w:t>
      </w:r>
      <w:r>
        <w:t xml:space="preserve"> schedule. This is not considered an urgent development.</w:t>
      </w:r>
    </w:p>
    <w:p w14:paraId="61B265FE" w14:textId="77777777" w:rsidR="00E539F6" w:rsidRDefault="00EB6F0C">
      <w:pPr>
        <w:numPr>
          <w:ilvl w:val="1"/>
          <w:numId w:val="4"/>
        </w:numPr>
        <w:spacing w:after="134" w:line="244" w:lineRule="auto"/>
        <w:ind w:right="0" w:hanging="360"/>
      </w:pPr>
      <w:r>
        <w:rPr>
          <w:b/>
        </w:rPr>
        <w:t>Expected Timing:</w:t>
      </w:r>
      <w:r>
        <w:t xml:space="preserve"> We plan to have the </w:t>
      </w:r>
      <w:r>
        <w:rPr>
          <w:u w:val="single" w:color="000000"/>
        </w:rPr>
        <w:t>messages available for submission by end of Q4 2026</w:t>
      </w:r>
      <w:r>
        <w:t>.</w:t>
      </w:r>
    </w:p>
    <w:p w14:paraId="13FFB63D" w14:textId="77777777" w:rsidR="00E539F6" w:rsidRDefault="00EB6F0C">
      <w:pPr>
        <w:numPr>
          <w:ilvl w:val="1"/>
          <w:numId w:val="4"/>
        </w:numPr>
        <w:ind w:right="0" w:hanging="360"/>
      </w:pPr>
      <w:r>
        <w:rPr>
          <w:b/>
        </w:rPr>
        <w:t>Submitting organisations involved:</w:t>
      </w:r>
      <w:r>
        <w:t xml:space="preserve"> No other parties are involved in the initial development. We are </w:t>
      </w:r>
      <w:r>
        <w:rPr>
          <w:u w:val="single" w:color="000000"/>
        </w:rPr>
        <w:t>open to working with any party that would like to volunteer</w:t>
      </w:r>
      <w:r>
        <w:t xml:space="preserve">. </w:t>
      </w:r>
    </w:p>
    <w:p w14:paraId="53FF0A64" w14:textId="77777777" w:rsidR="00E539F6" w:rsidRDefault="00EB6F0C">
      <w:pPr>
        <w:numPr>
          <w:ilvl w:val="1"/>
          <w:numId w:val="4"/>
        </w:numPr>
        <w:spacing w:after="127" w:line="251" w:lineRule="auto"/>
        <w:ind w:right="0" w:hanging="360"/>
      </w:pPr>
      <w:r>
        <w:rPr>
          <w:b/>
        </w:rPr>
        <w:t xml:space="preserve">Other known standards initiative(s) involved </w:t>
      </w:r>
      <w:proofErr w:type="gramStart"/>
      <w:r>
        <w:rPr>
          <w:b/>
        </w:rPr>
        <w:t>in an effort to</w:t>
      </w:r>
      <w:proofErr w:type="gramEnd"/>
      <w:r>
        <w:rPr>
          <w:b/>
        </w:rPr>
        <w:t xml:space="preserve"> address the same requirements:</w:t>
      </w:r>
      <w:r>
        <w:t xml:space="preserve"> none.</w:t>
      </w:r>
    </w:p>
    <w:p w14:paraId="099464CC" w14:textId="77777777" w:rsidR="00A06CEC" w:rsidRDefault="00A06CEC" w:rsidP="00A06CEC">
      <w:pPr>
        <w:spacing w:after="127" w:line="251" w:lineRule="auto"/>
        <w:ind w:left="705" w:right="0" w:firstLine="0"/>
      </w:pPr>
    </w:p>
    <w:p w14:paraId="7A3E7C0F" w14:textId="77777777" w:rsidR="00E539F6" w:rsidRDefault="00EB6F0C" w:rsidP="00A06CEC">
      <w:pPr>
        <w:pStyle w:val="ListParagraph"/>
        <w:numPr>
          <w:ilvl w:val="0"/>
          <w:numId w:val="7"/>
        </w:numPr>
        <w:spacing w:after="127" w:line="251" w:lineRule="auto"/>
        <w:ind w:left="360" w:right="0"/>
      </w:pPr>
      <w:r w:rsidRPr="00A06CEC">
        <w:rPr>
          <w:b/>
        </w:rPr>
        <w:t>Commitments of the submitting organisation:</w:t>
      </w:r>
    </w:p>
    <w:p w14:paraId="4A2A5491" w14:textId="77777777" w:rsidR="00E539F6" w:rsidRDefault="00EB6F0C">
      <w:pPr>
        <w:ind w:right="0"/>
      </w:pPr>
      <w:r>
        <w:t>The submitting organisation confirms that it can and will:</w:t>
      </w:r>
    </w:p>
    <w:p w14:paraId="54FB2819" w14:textId="77777777" w:rsidR="00E539F6" w:rsidRDefault="00EB6F0C">
      <w:pPr>
        <w:numPr>
          <w:ilvl w:val="1"/>
          <w:numId w:val="4"/>
        </w:numPr>
        <w:ind w:right="0" w:hanging="360"/>
      </w:pPr>
      <w:r>
        <w:t xml:space="preserve">undertake the development of the candidate ISO 20022 business and message models that it will submit to the RA for compliance review and evaluation. The submission must be compliant with the </w:t>
      </w:r>
      <w:hyperlink r:id="rId13">
        <w:r>
          <w:rPr>
            <w:color w:val="0000FF"/>
            <w:u w:val="single" w:color="0000FF"/>
          </w:rPr>
          <w:t>ISO 20022 Master Rules</w:t>
        </w:r>
      </w:hyperlink>
      <w:r>
        <w:t xml:space="preserve"> and include a draft Part 1 of the Message Definition Report (MDR) compliant with the </w:t>
      </w:r>
      <w:hyperlink r:id="rId14">
        <w:r>
          <w:rPr>
            <w:color w:val="0000FF"/>
            <w:u w:val="single" w:color="0000FF"/>
          </w:rPr>
          <w:t>template for MDR part 1</w:t>
        </w:r>
      </w:hyperlink>
      <w:r>
        <w:t xml:space="preserve"> provided by the RA, the </w:t>
      </w:r>
      <w:hyperlink r:id="rId15">
        <w:r>
          <w:rPr>
            <w:color w:val="0000FF"/>
            <w:u w:val="single" w:color="0000FF"/>
          </w:rPr>
          <w:t>ISO 20022 Message Transport Mode</w:t>
        </w:r>
      </w:hyperlink>
      <w:r>
        <w:t xml:space="preserve"> (MTM) that the submitting organization recommends to consider with the submitted message set, and, optionally, examples of valid and invalid instances of each candidate message. The submission may also include a Message User Guide (MUG) to complement the MDR and describe in further details how to use the different possibilities/options of the proposed candidate messages; </w:t>
      </w:r>
    </w:p>
    <w:p w14:paraId="423E36BA" w14:textId="77777777" w:rsidR="00E539F6" w:rsidRDefault="00EB6F0C">
      <w:pPr>
        <w:numPr>
          <w:ilvl w:val="1"/>
          <w:numId w:val="4"/>
        </w:numPr>
        <w:ind w:right="0" w:hanging="360"/>
      </w:pPr>
      <w:r>
        <w:t>address any queries related to the description of the models and messages as published by the RA on the ISO 20022 website.</w:t>
      </w:r>
    </w:p>
    <w:p w14:paraId="67C649C5" w14:textId="77777777" w:rsidR="00E539F6" w:rsidRDefault="00EB6F0C">
      <w:pPr>
        <w:ind w:right="0"/>
      </w:pPr>
      <w:r>
        <w:t xml:space="preserve">The submitting organisation confirms that it will promptly inform the RA about any changes or more accurate information about the number of candidate messages and the timing of their submission to the RA. If the submitting organisation does not submit the candidate messages within the timing announced in section F and does not inform the RA beforehand, the business justification may lapse and require re-submission of a new business justification for approval by the RMG. </w:t>
      </w:r>
    </w:p>
    <w:p w14:paraId="3D09005B" w14:textId="77777777" w:rsidR="00E539F6" w:rsidRDefault="00EB6F0C">
      <w:pPr>
        <w:ind w:right="0"/>
      </w:pPr>
      <w:r>
        <w:t>The submitting organisation confirms it does not intend to organize any testing of the candidate messages once they have been reviewed and qualified by the RA and before their submission to the SEG(s) for approval.  As part of any implementation of the messages, once approved, testing will be carried out. Schema valid examples will be included in the MDR Part 1.</w:t>
      </w:r>
    </w:p>
    <w:p w14:paraId="1D5F6B38" w14:textId="77777777" w:rsidR="00E539F6" w:rsidRDefault="00EB6F0C">
      <w:pPr>
        <w:ind w:right="0"/>
      </w:pPr>
      <w:r>
        <w:t xml:space="preserve">The submitting organisation confirms that it will promptly inform the RA about any changes or more accurate information about the timing of this re-submission to the RA. If the submitting organisation does not re-submit the candidate messages as announced and does not inform the RA beforehand, the business justification may lapse and require resubmission of a new business justification for approval by the RMG. </w:t>
      </w:r>
    </w:p>
    <w:p w14:paraId="70A0F3BF" w14:textId="77777777" w:rsidR="00E539F6" w:rsidRDefault="00EB6F0C">
      <w:pPr>
        <w:ind w:right="0"/>
      </w:pPr>
      <w:r>
        <w:t xml:space="preserve">The submitting organisation confirms it is committed to undertake the future message maintenance. </w:t>
      </w:r>
    </w:p>
    <w:p w14:paraId="27EFDCEF" w14:textId="77777777" w:rsidR="00A06CEC" w:rsidRDefault="00EB6F0C">
      <w:pPr>
        <w:spacing w:after="76" w:line="299" w:lineRule="auto"/>
        <w:ind w:left="0" w:right="698" w:firstLine="0"/>
        <w:jc w:val="both"/>
      </w:pPr>
      <w:r>
        <w:lastRenderedPageBreak/>
        <w:t xml:space="preserve">The submitting organisation confirms its knowledge and acceptance of the ISO 20022 Intellectual Property Rights policy for contributing organisations, as follows. </w:t>
      </w:r>
    </w:p>
    <w:p w14:paraId="45747B9C" w14:textId="77777777" w:rsidR="00A06CEC" w:rsidRDefault="00A06CEC">
      <w:pPr>
        <w:spacing w:after="76" w:line="299" w:lineRule="auto"/>
        <w:ind w:left="0" w:right="698" w:firstLine="0"/>
        <w:jc w:val="both"/>
      </w:pPr>
    </w:p>
    <w:p w14:paraId="69B3CD43" w14:textId="37FB7998" w:rsidR="00E539F6" w:rsidRDefault="00EB6F0C" w:rsidP="00A06CEC">
      <w:pPr>
        <w:pStyle w:val="ListParagraph"/>
        <w:numPr>
          <w:ilvl w:val="0"/>
          <w:numId w:val="7"/>
        </w:numPr>
        <w:spacing w:after="76" w:line="299" w:lineRule="auto"/>
        <w:ind w:left="360" w:right="698"/>
        <w:jc w:val="both"/>
      </w:pPr>
      <w:r w:rsidRPr="00A06CEC">
        <w:rPr>
          <w:b/>
        </w:rPr>
        <w:t>Contact persons:</w:t>
      </w:r>
    </w:p>
    <w:p w14:paraId="31D66C51" w14:textId="77777777" w:rsidR="00E539F6" w:rsidRDefault="00EB6F0C">
      <w:pPr>
        <w:spacing w:after="110" w:line="265" w:lineRule="auto"/>
        <w:ind w:left="-5" w:right="0"/>
      </w:pPr>
      <w:r>
        <w:t xml:space="preserve">Geoffrey Goodell </w:t>
      </w:r>
      <w:r>
        <w:rPr>
          <w:color w:val="0000FF"/>
          <w:u w:val="single" w:color="0000FF"/>
        </w:rPr>
        <w:t>goodell@dts-ltd.co.uk</w:t>
      </w:r>
      <w:r>
        <w:rPr>
          <w:color w:val="0000FF"/>
        </w:rPr>
        <w:t xml:space="preserve"> </w:t>
      </w:r>
    </w:p>
    <w:p w14:paraId="0A062543" w14:textId="77777777" w:rsidR="00E539F6" w:rsidRDefault="00EB6F0C">
      <w:pPr>
        <w:spacing w:after="526" w:line="265" w:lineRule="auto"/>
        <w:ind w:left="-5" w:right="0"/>
      </w:pPr>
      <w:r>
        <w:t xml:space="preserve">Jason Polis </w:t>
      </w:r>
      <w:r>
        <w:rPr>
          <w:color w:val="0000FF"/>
          <w:u w:val="single" w:color="0000FF"/>
        </w:rPr>
        <w:t>jason@iso20022.plus</w:t>
      </w:r>
      <w:r>
        <w:rPr>
          <w:color w:val="0000FF"/>
        </w:rPr>
        <w:t xml:space="preserve"> </w:t>
      </w:r>
    </w:p>
    <w:p w14:paraId="28D039E8" w14:textId="39A90E25" w:rsidR="00E539F6" w:rsidRDefault="00EB6F0C" w:rsidP="00A06CEC">
      <w:pPr>
        <w:pStyle w:val="ListParagraph"/>
        <w:numPr>
          <w:ilvl w:val="0"/>
          <w:numId w:val="7"/>
        </w:numPr>
        <w:spacing w:after="127" w:line="251" w:lineRule="auto"/>
        <w:ind w:left="360" w:right="0"/>
      </w:pPr>
      <w:r w:rsidRPr="00A06CEC">
        <w:rPr>
          <w:b/>
        </w:rPr>
        <w:t xml:space="preserve">Comments from the RMG members and relevant SEG(s) or </w:t>
      </w:r>
      <w:proofErr w:type="spellStart"/>
      <w:r w:rsidRPr="00A06CEC">
        <w:rPr>
          <w:b/>
        </w:rPr>
        <w:t>SubSEG</w:t>
      </w:r>
      <w:proofErr w:type="spellEnd"/>
      <w:r w:rsidRPr="00A06CEC">
        <w:rPr>
          <w:b/>
        </w:rPr>
        <w:t>(s) and disposition of comments by the submitting organisation:</w:t>
      </w:r>
    </w:p>
    <w:p w14:paraId="574A4675" w14:textId="77777777" w:rsidR="00E539F6" w:rsidRDefault="00EB6F0C">
      <w:pPr>
        <w:spacing w:after="266" w:line="238" w:lineRule="auto"/>
        <w:ind w:left="-5" w:right="0"/>
      </w:pPr>
      <w:r>
        <w:rPr>
          <w:i/>
        </w:rPr>
        <w:t xml:space="preserve">This section will include the comments received from RMG members and the SEG(s) or </w:t>
      </w:r>
      <w:proofErr w:type="spellStart"/>
      <w:r>
        <w:rPr>
          <w:i/>
        </w:rPr>
        <w:t>SubSEG</w:t>
      </w:r>
      <w:proofErr w:type="spellEnd"/>
      <w:r>
        <w:rPr>
          <w:i/>
        </w:rPr>
        <w:t xml:space="preserve">(s), if any, and the response given to each of these comments by the submitting organisation. </w:t>
      </w:r>
    </w:p>
    <w:sectPr w:rsidR="00E539F6">
      <w:headerReference w:type="even" r:id="rId16"/>
      <w:headerReference w:type="default" r:id="rId17"/>
      <w:footerReference w:type="even" r:id="rId18"/>
      <w:footerReference w:type="default" r:id="rId19"/>
      <w:headerReference w:type="first" r:id="rId20"/>
      <w:footerReference w:type="first" r:id="rId21"/>
      <w:pgSz w:w="11906" w:h="16838"/>
      <w:pgMar w:top="1440" w:right="1157" w:bottom="1834" w:left="1799" w:header="72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EB152" w14:textId="77777777" w:rsidR="00C10055" w:rsidRDefault="00C10055">
      <w:pPr>
        <w:spacing w:after="0" w:line="240" w:lineRule="auto"/>
      </w:pPr>
      <w:r>
        <w:separator/>
      </w:r>
    </w:p>
  </w:endnote>
  <w:endnote w:type="continuationSeparator" w:id="0">
    <w:p w14:paraId="175B5678" w14:textId="77777777" w:rsidR="00C10055" w:rsidRDefault="00C10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B512" w14:textId="77777777" w:rsidR="00E539F6" w:rsidRDefault="00EB6F0C">
    <w:pPr>
      <w:spacing w:after="0" w:line="245" w:lineRule="auto"/>
      <w:ind w:left="3600" w:right="0" w:hanging="3600"/>
    </w:pPr>
    <w:r>
      <w:rPr>
        <w:rFonts w:ascii="Calibri" w:eastAsia="Calibri" w:hAnsi="Calibri" w:cs="Calibri"/>
        <w:noProof/>
        <w:sz w:val="22"/>
      </w:rPr>
      <mc:AlternateContent>
        <mc:Choice Requires="wpg">
          <w:drawing>
            <wp:anchor distT="0" distB="0" distL="114300" distR="114300" simplePos="0" relativeHeight="251656192" behindDoc="0" locked="0" layoutInCell="1" allowOverlap="1" wp14:anchorId="0EB15255" wp14:editId="43B04B84">
              <wp:simplePos x="0" y="0"/>
              <wp:positionH relativeFrom="page">
                <wp:posOffset>1141730</wp:posOffset>
              </wp:positionH>
              <wp:positionV relativeFrom="page">
                <wp:posOffset>9780915</wp:posOffset>
              </wp:positionV>
              <wp:extent cx="5697855" cy="3175"/>
              <wp:effectExtent l="0" t="0" r="0" b="0"/>
              <wp:wrapSquare wrapText="bothSides"/>
              <wp:docPr id="3536" name="Group 3536"/>
              <wp:cNvGraphicFramePr/>
              <a:graphic xmlns:a="http://schemas.openxmlformats.org/drawingml/2006/main">
                <a:graphicData uri="http://schemas.microsoft.com/office/word/2010/wordprocessingGroup">
                  <wpg:wgp>
                    <wpg:cNvGrpSpPr/>
                    <wpg:grpSpPr>
                      <a:xfrm>
                        <a:off x="0" y="0"/>
                        <a:ext cx="5697855" cy="3175"/>
                        <a:chOff x="0" y="0"/>
                        <a:chExt cx="5697855" cy="3175"/>
                      </a:xfrm>
                    </wpg:grpSpPr>
                    <wps:wsp>
                      <wps:cNvPr id="3537" name="Shape 3537"/>
                      <wps:cNvSpPr/>
                      <wps:spPr>
                        <a:xfrm>
                          <a:off x="0" y="0"/>
                          <a:ext cx="5697855" cy="0"/>
                        </a:xfrm>
                        <a:custGeom>
                          <a:avLst/>
                          <a:gdLst/>
                          <a:ahLst/>
                          <a:cxnLst/>
                          <a:rect l="0" t="0" r="0" b="0"/>
                          <a:pathLst>
                            <a:path w="5697855">
                              <a:moveTo>
                                <a:pt x="0" y="0"/>
                              </a:moveTo>
                              <a:lnTo>
                                <a:pt x="5697855"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36" style="width:448.65pt;height:0.25pt;position:absolute;mso-position-horizontal-relative:page;mso-position-horizontal:absolute;margin-left:89.9pt;mso-position-vertical-relative:page;margin-top:770.151pt;" coordsize="56978,31">
              <v:shape id="Shape 3537" style="position:absolute;width:56978;height:0;left:0;top:0;" coordsize="5697855,0" path="m0,0l5697855,0">
                <v:stroke weight="0.25pt" endcap="flat" joinstyle="round" on="true" color="#000000"/>
                <v:fill on="false" color="#000000" opacity="0"/>
              </v:shape>
              <w10:wrap type="square"/>
            </v:group>
          </w:pict>
        </mc:Fallback>
      </mc:AlternateContent>
    </w:r>
    <w:r>
      <w:rPr>
        <w:sz w:val="20"/>
      </w:rPr>
      <w:t xml:space="preserve"> ISO 20022 BJ - Secure Tokenised Asset Transfer - 20260501-accepted.doc</w:t>
    </w:r>
    <w:r>
      <w:rPr>
        <w:sz w:val="20"/>
      </w:rPr>
      <w:tab/>
      <w:t xml:space="preserve">Produced by ISO 20022 RA Page </w:t>
    </w:r>
    <w:r>
      <w:fldChar w:fldCharType="begin"/>
    </w:r>
    <w:r>
      <w:instrText xml:space="preserve"> PAGE   \* MERGEFORMAT </w:instrText>
    </w:r>
    <w: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E4FC" w14:textId="5EB53FE4" w:rsidR="00E539F6" w:rsidRDefault="00EB6F0C">
    <w:pPr>
      <w:spacing w:after="0" w:line="245" w:lineRule="auto"/>
      <w:ind w:left="3600" w:right="0" w:hanging="3600"/>
    </w:pPr>
    <w:r>
      <w:rPr>
        <w:rFonts w:ascii="Calibri" w:eastAsia="Calibri" w:hAnsi="Calibri" w:cs="Calibri"/>
        <w:noProof/>
        <w:sz w:val="22"/>
      </w:rPr>
      <mc:AlternateContent>
        <mc:Choice Requires="wpg">
          <w:drawing>
            <wp:anchor distT="0" distB="0" distL="114300" distR="114300" simplePos="0" relativeHeight="251657216" behindDoc="0" locked="0" layoutInCell="1" allowOverlap="1" wp14:anchorId="5D4DE01E" wp14:editId="0F9BBE96">
              <wp:simplePos x="0" y="0"/>
              <wp:positionH relativeFrom="page">
                <wp:posOffset>1141730</wp:posOffset>
              </wp:positionH>
              <wp:positionV relativeFrom="page">
                <wp:posOffset>9780915</wp:posOffset>
              </wp:positionV>
              <wp:extent cx="5697855" cy="3175"/>
              <wp:effectExtent l="0" t="0" r="0" b="0"/>
              <wp:wrapSquare wrapText="bothSides"/>
              <wp:docPr id="3522" name="Group 3522"/>
              <wp:cNvGraphicFramePr/>
              <a:graphic xmlns:a="http://schemas.openxmlformats.org/drawingml/2006/main">
                <a:graphicData uri="http://schemas.microsoft.com/office/word/2010/wordprocessingGroup">
                  <wpg:wgp>
                    <wpg:cNvGrpSpPr/>
                    <wpg:grpSpPr>
                      <a:xfrm>
                        <a:off x="0" y="0"/>
                        <a:ext cx="5697855" cy="3175"/>
                        <a:chOff x="0" y="0"/>
                        <a:chExt cx="5697855" cy="3175"/>
                      </a:xfrm>
                    </wpg:grpSpPr>
                    <wps:wsp>
                      <wps:cNvPr id="3523" name="Shape 3523"/>
                      <wps:cNvSpPr/>
                      <wps:spPr>
                        <a:xfrm>
                          <a:off x="0" y="0"/>
                          <a:ext cx="5697855" cy="0"/>
                        </a:xfrm>
                        <a:custGeom>
                          <a:avLst/>
                          <a:gdLst/>
                          <a:ahLst/>
                          <a:cxnLst/>
                          <a:rect l="0" t="0" r="0" b="0"/>
                          <a:pathLst>
                            <a:path w="5697855">
                              <a:moveTo>
                                <a:pt x="0" y="0"/>
                              </a:moveTo>
                              <a:lnTo>
                                <a:pt x="5697855"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22" style="width:448.65pt;height:0.25pt;position:absolute;mso-position-horizontal-relative:page;mso-position-horizontal:absolute;margin-left:89.9pt;mso-position-vertical-relative:page;margin-top:770.151pt;" coordsize="56978,31">
              <v:shape id="Shape 3523" style="position:absolute;width:56978;height:0;left:0;top:0;" coordsize="5697855,0" path="m0,0l5697855,0">
                <v:stroke weight="0.25pt" endcap="flat" joinstyle="round" on="true" color="#000000"/>
                <v:fill on="false" color="#000000" opacity="0"/>
              </v:shape>
              <w10:wrap type="square"/>
            </v:group>
          </w:pict>
        </mc:Fallback>
      </mc:AlternateContent>
    </w:r>
    <w:r w:rsidR="00C64557">
      <w:rPr>
        <w:sz w:val="20"/>
      </w:rPr>
      <w:fldChar w:fldCharType="begin"/>
    </w:r>
    <w:r w:rsidR="00C64557">
      <w:rPr>
        <w:sz w:val="20"/>
      </w:rPr>
      <w:instrText xml:space="preserve"> FILENAME   \* MERGEFORMAT </w:instrText>
    </w:r>
    <w:r w:rsidR="00C64557">
      <w:rPr>
        <w:sz w:val="20"/>
      </w:rPr>
      <w:fldChar w:fldCharType="separate"/>
    </w:r>
    <w:r w:rsidR="00C64557">
      <w:rPr>
        <w:noProof/>
        <w:sz w:val="20"/>
      </w:rPr>
      <w:t>292_BJMS_SecureTokenisedAssetTransfer_v1.docx</w:t>
    </w:r>
    <w:r w:rsidR="00C64557">
      <w:rPr>
        <w:sz w:val="20"/>
      </w:rPr>
      <w:fldChar w:fldCharType="end"/>
    </w:r>
    <w:r>
      <w:rPr>
        <w:sz w:val="20"/>
      </w:rPr>
      <w:tab/>
    </w:r>
    <w:r w:rsidR="00F4499C">
      <w:rPr>
        <w:sz w:val="20"/>
      </w:rPr>
      <w:tab/>
    </w:r>
    <w:r>
      <w:rPr>
        <w:sz w:val="20"/>
      </w:rPr>
      <w:t xml:space="preserve">Produced by </w:t>
    </w:r>
    <w:r w:rsidR="00F4499C">
      <w:rPr>
        <w:sz w:val="20"/>
      </w:rPr>
      <w:t xml:space="preserve">DTS ltd. </w:t>
    </w:r>
    <w:r>
      <w:rPr>
        <w:sz w:val="20"/>
      </w:rPr>
      <w:t xml:space="preserve"> </w:t>
    </w:r>
    <w:r w:rsidR="00F4499C">
      <w:rPr>
        <w:sz w:val="20"/>
      </w:rPr>
      <w:tab/>
    </w:r>
    <w:r w:rsidR="00F4499C">
      <w:rPr>
        <w:sz w:val="20"/>
      </w:rPr>
      <w:tab/>
    </w:r>
    <w:r>
      <w:rPr>
        <w:sz w:val="20"/>
      </w:rPr>
      <w:t xml:space="preserve">Page </w:t>
    </w:r>
    <w:r>
      <w:fldChar w:fldCharType="begin"/>
    </w:r>
    <w:r>
      <w:instrText xml:space="preserve"> PAGE   \* MERGEFORMAT </w:instrText>
    </w:r>
    <w:r>
      <w:fldChar w:fldCharType="separate"/>
    </w:r>
    <w:r>
      <w:rPr>
        <w:sz w:val="20"/>
      </w:rPr>
      <w:t>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2BBB" w14:textId="77777777" w:rsidR="00E539F6" w:rsidRDefault="00EB6F0C">
    <w:pPr>
      <w:spacing w:after="0" w:line="245" w:lineRule="auto"/>
      <w:ind w:left="3600" w:right="0" w:hanging="360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4EB323E" wp14:editId="2DF365BE">
              <wp:simplePos x="0" y="0"/>
              <wp:positionH relativeFrom="page">
                <wp:posOffset>1141730</wp:posOffset>
              </wp:positionH>
              <wp:positionV relativeFrom="page">
                <wp:posOffset>9780915</wp:posOffset>
              </wp:positionV>
              <wp:extent cx="5697855" cy="3175"/>
              <wp:effectExtent l="0" t="0" r="0" b="0"/>
              <wp:wrapSquare wrapText="bothSides"/>
              <wp:docPr id="3508" name="Group 3508"/>
              <wp:cNvGraphicFramePr/>
              <a:graphic xmlns:a="http://schemas.openxmlformats.org/drawingml/2006/main">
                <a:graphicData uri="http://schemas.microsoft.com/office/word/2010/wordprocessingGroup">
                  <wpg:wgp>
                    <wpg:cNvGrpSpPr/>
                    <wpg:grpSpPr>
                      <a:xfrm>
                        <a:off x="0" y="0"/>
                        <a:ext cx="5697855" cy="3175"/>
                        <a:chOff x="0" y="0"/>
                        <a:chExt cx="5697855" cy="3175"/>
                      </a:xfrm>
                    </wpg:grpSpPr>
                    <wps:wsp>
                      <wps:cNvPr id="3509" name="Shape 3509"/>
                      <wps:cNvSpPr/>
                      <wps:spPr>
                        <a:xfrm>
                          <a:off x="0" y="0"/>
                          <a:ext cx="5697855" cy="0"/>
                        </a:xfrm>
                        <a:custGeom>
                          <a:avLst/>
                          <a:gdLst/>
                          <a:ahLst/>
                          <a:cxnLst/>
                          <a:rect l="0" t="0" r="0" b="0"/>
                          <a:pathLst>
                            <a:path w="5697855">
                              <a:moveTo>
                                <a:pt x="0" y="0"/>
                              </a:moveTo>
                              <a:lnTo>
                                <a:pt x="5697855"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08" style="width:448.65pt;height:0.25pt;position:absolute;mso-position-horizontal-relative:page;mso-position-horizontal:absolute;margin-left:89.9pt;mso-position-vertical-relative:page;margin-top:770.151pt;" coordsize="56978,31">
              <v:shape id="Shape 3509" style="position:absolute;width:56978;height:0;left:0;top:0;" coordsize="5697855,0" path="m0,0l5697855,0">
                <v:stroke weight="0.25pt" endcap="flat" joinstyle="round" on="true" color="#000000"/>
                <v:fill on="false" color="#000000" opacity="0"/>
              </v:shape>
              <w10:wrap type="square"/>
            </v:group>
          </w:pict>
        </mc:Fallback>
      </mc:AlternateContent>
    </w:r>
    <w:r>
      <w:rPr>
        <w:sz w:val="20"/>
      </w:rPr>
      <w:t xml:space="preserve"> ISO 20022 BJ - Secure Tokenised Asset Transfer - 20260501-accepted.doc</w:t>
    </w:r>
    <w:r>
      <w:rPr>
        <w:sz w:val="20"/>
      </w:rPr>
      <w:tab/>
      <w:t xml:space="preserve">Produced by ISO 20022 RA Page </w:t>
    </w: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AAA3" w14:textId="77777777" w:rsidR="00C10055" w:rsidRDefault="00C10055">
      <w:pPr>
        <w:spacing w:after="0" w:line="240" w:lineRule="auto"/>
      </w:pPr>
      <w:r>
        <w:separator/>
      </w:r>
    </w:p>
  </w:footnote>
  <w:footnote w:type="continuationSeparator" w:id="0">
    <w:p w14:paraId="7C5136F4" w14:textId="77777777" w:rsidR="00C10055" w:rsidRDefault="00C10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93489" w14:textId="77777777" w:rsidR="00351548" w:rsidRDefault="00351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6685" w14:textId="5FFBC99E" w:rsidR="00351548" w:rsidRDefault="003515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407E" w14:textId="77777777" w:rsidR="00351548" w:rsidRDefault="00351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730CC"/>
    <w:multiLevelType w:val="hybridMultilevel"/>
    <w:tmpl w:val="E71233F2"/>
    <w:lvl w:ilvl="0" w:tplc="A948B0F8">
      <w:start w:val="1"/>
      <w:numFmt w:val="upperLetter"/>
      <w:lvlText w:val="%1."/>
      <w:lvlJc w:val="left"/>
      <w:pPr>
        <w:ind w:left="705" w:hanging="360"/>
      </w:pPr>
      <w:rPr>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2845A27"/>
    <w:multiLevelType w:val="hybridMultilevel"/>
    <w:tmpl w:val="A8CAE7B0"/>
    <w:lvl w:ilvl="0" w:tplc="E1843400">
      <w:start w:val="3"/>
      <w:numFmt w:val="upperLetter"/>
      <w:lvlText w:val="%1."/>
      <w:lvlJc w:val="left"/>
      <w:pPr>
        <w:ind w:left="3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3D4FDE4">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1A876E">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8C66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C6AFEA">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C8BC3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4911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4AC3C">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498D8">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AB1419"/>
    <w:multiLevelType w:val="hybridMultilevel"/>
    <w:tmpl w:val="5BB807F4"/>
    <w:lvl w:ilvl="0" w:tplc="E022F39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C837A">
      <w:start w:val="1"/>
      <w:numFmt w:val="lowerLetter"/>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227A2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E00B5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E32B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FE354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54473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E4BD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EBB5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4D483E"/>
    <w:multiLevelType w:val="hybridMultilevel"/>
    <w:tmpl w:val="7602A126"/>
    <w:lvl w:ilvl="0" w:tplc="CBBA38D0">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F093D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A0C18E0">
      <w:start w:val="1"/>
      <w:numFmt w:val="bullet"/>
      <w:lvlText w:val="▪"/>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785E6C">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CE53C6">
      <w:start w:val="1"/>
      <w:numFmt w:val="bullet"/>
      <w:lvlText w:val="o"/>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1804BA">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86D038">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98626E">
      <w:start w:val="1"/>
      <w:numFmt w:val="bullet"/>
      <w:lvlText w:val="o"/>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42EFDE">
      <w:start w:val="1"/>
      <w:numFmt w:val="bullet"/>
      <w:lvlText w:val="▪"/>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B26135A"/>
    <w:multiLevelType w:val="multilevel"/>
    <w:tmpl w:val="38C8E1F0"/>
    <w:lvl w:ilvl="0">
      <w:numFmt w:val="bullet"/>
      <w:lvlText w:val="-"/>
      <w:lvlJc w:val="left"/>
      <w:pPr>
        <w:tabs>
          <w:tab w:val="num" w:pos="0"/>
        </w:tabs>
        <w:ind w:left="720" w:hanging="360"/>
      </w:pPr>
      <w:rPr>
        <w:rFonts w:ascii="Arial Nova" w:hAnsi="Arial Nova" w:cs="Arial Nov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01F48AC"/>
    <w:multiLevelType w:val="hybridMultilevel"/>
    <w:tmpl w:val="4260EE4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62CC088B"/>
    <w:multiLevelType w:val="multilevel"/>
    <w:tmpl w:val="FEB86440"/>
    <w:lvl w:ilvl="0">
      <w:start w:val="1"/>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7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1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8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0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7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 w15:restartNumberingAfterBreak="0">
    <w:nsid w:val="6B933B5E"/>
    <w:multiLevelType w:val="hybridMultilevel"/>
    <w:tmpl w:val="695A17E0"/>
    <w:lvl w:ilvl="0" w:tplc="5C50CB22">
      <w:start w:val="6"/>
      <w:numFmt w:val="upperLetter"/>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561D88">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246C0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92D05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04063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DA9AF4">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5A0CF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8A9B7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FC8BF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E4153C7"/>
    <w:multiLevelType w:val="hybridMultilevel"/>
    <w:tmpl w:val="B988219C"/>
    <w:lvl w:ilvl="0" w:tplc="A948B0F8">
      <w:start w:val="1"/>
      <w:numFmt w:val="upperLetter"/>
      <w:lvlText w:val="%1."/>
      <w:lvlJc w:val="left"/>
      <w:pPr>
        <w:ind w:left="705" w:hanging="360"/>
      </w:pPr>
      <w:rPr>
        <w:b/>
        <w:bCs/>
      </w:rPr>
    </w:lvl>
    <w:lvl w:ilvl="1" w:tplc="080C0019" w:tentative="1">
      <w:start w:val="1"/>
      <w:numFmt w:val="lowerLetter"/>
      <w:lvlText w:val="%2."/>
      <w:lvlJc w:val="left"/>
      <w:pPr>
        <w:ind w:left="1425" w:hanging="360"/>
      </w:pPr>
    </w:lvl>
    <w:lvl w:ilvl="2" w:tplc="080C001B" w:tentative="1">
      <w:start w:val="1"/>
      <w:numFmt w:val="lowerRoman"/>
      <w:lvlText w:val="%3."/>
      <w:lvlJc w:val="right"/>
      <w:pPr>
        <w:ind w:left="2145" w:hanging="180"/>
      </w:pPr>
    </w:lvl>
    <w:lvl w:ilvl="3" w:tplc="080C000F" w:tentative="1">
      <w:start w:val="1"/>
      <w:numFmt w:val="decimal"/>
      <w:lvlText w:val="%4."/>
      <w:lvlJc w:val="left"/>
      <w:pPr>
        <w:ind w:left="2865" w:hanging="360"/>
      </w:pPr>
    </w:lvl>
    <w:lvl w:ilvl="4" w:tplc="080C0019" w:tentative="1">
      <w:start w:val="1"/>
      <w:numFmt w:val="lowerLetter"/>
      <w:lvlText w:val="%5."/>
      <w:lvlJc w:val="left"/>
      <w:pPr>
        <w:ind w:left="3585" w:hanging="360"/>
      </w:pPr>
    </w:lvl>
    <w:lvl w:ilvl="5" w:tplc="080C001B" w:tentative="1">
      <w:start w:val="1"/>
      <w:numFmt w:val="lowerRoman"/>
      <w:lvlText w:val="%6."/>
      <w:lvlJc w:val="right"/>
      <w:pPr>
        <w:ind w:left="4305" w:hanging="180"/>
      </w:pPr>
    </w:lvl>
    <w:lvl w:ilvl="6" w:tplc="080C000F" w:tentative="1">
      <w:start w:val="1"/>
      <w:numFmt w:val="decimal"/>
      <w:lvlText w:val="%7."/>
      <w:lvlJc w:val="left"/>
      <w:pPr>
        <w:ind w:left="5025" w:hanging="360"/>
      </w:pPr>
    </w:lvl>
    <w:lvl w:ilvl="7" w:tplc="080C0019" w:tentative="1">
      <w:start w:val="1"/>
      <w:numFmt w:val="lowerLetter"/>
      <w:lvlText w:val="%8."/>
      <w:lvlJc w:val="left"/>
      <w:pPr>
        <w:ind w:left="5745" w:hanging="360"/>
      </w:pPr>
    </w:lvl>
    <w:lvl w:ilvl="8" w:tplc="080C001B" w:tentative="1">
      <w:start w:val="1"/>
      <w:numFmt w:val="lowerRoman"/>
      <w:lvlText w:val="%9."/>
      <w:lvlJc w:val="right"/>
      <w:pPr>
        <w:ind w:left="6465" w:hanging="180"/>
      </w:pPr>
    </w:lvl>
  </w:abstractNum>
  <w:num w:numId="1" w16cid:durableId="486097883">
    <w:abstractNumId w:val="1"/>
  </w:num>
  <w:num w:numId="2" w16cid:durableId="805203401">
    <w:abstractNumId w:val="3"/>
  </w:num>
  <w:num w:numId="3" w16cid:durableId="308556278">
    <w:abstractNumId w:val="2"/>
  </w:num>
  <w:num w:numId="4" w16cid:durableId="902567753">
    <w:abstractNumId w:val="7"/>
  </w:num>
  <w:num w:numId="5" w16cid:durableId="1974601550">
    <w:abstractNumId w:val="5"/>
  </w:num>
  <w:num w:numId="6" w16cid:durableId="1665402539">
    <w:abstractNumId w:val="8"/>
  </w:num>
  <w:num w:numId="7" w16cid:durableId="1432118946">
    <w:abstractNumId w:val="0"/>
  </w:num>
  <w:num w:numId="8" w16cid:durableId="639573716">
    <w:abstractNumId w:val="4"/>
  </w:num>
  <w:num w:numId="9" w16cid:durableId="6457447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9F6"/>
    <w:rsid w:val="000242D4"/>
    <w:rsid w:val="00072FCA"/>
    <w:rsid w:val="000C7E21"/>
    <w:rsid w:val="0014447C"/>
    <w:rsid w:val="00183D6D"/>
    <w:rsid w:val="00203B68"/>
    <w:rsid w:val="00213D41"/>
    <w:rsid w:val="002233D5"/>
    <w:rsid w:val="0022352D"/>
    <w:rsid w:val="00240EC5"/>
    <w:rsid w:val="002B439F"/>
    <w:rsid w:val="002C1587"/>
    <w:rsid w:val="002F3191"/>
    <w:rsid w:val="00351548"/>
    <w:rsid w:val="00372D07"/>
    <w:rsid w:val="0037613F"/>
    <w:rsid w:val="003B472C"/>
    <w:rsid w:val="003E5E69"/>
    <w:rsid w:val="00502FCA"/>
    <w:rsid w:val="00532EF1"/>
    <w:rsid w:val="00550682"/>
    <w:rsid w:val="005538F8"/>
    <w:rsid w:val="005B641C"/>
    <w:rsid w:val="005C4F25"/>
    <w:rsid w:val="00751E82"/>
    <w:rsid w:val="00793070"/>
    <w:rsid w:val="008D25B2"/>
    <w:rsid w:val="008E51C4"/>
    <w:rsid w:val="00A025F4"/>
    <w:rsid w:val="00A06CEC"/>
    <w:rsid w:val="00BD789E"/>
    <w:rsid w:val="00C10055"/>
    <w:rsid w:val="00C64557"/>
    <w:rsid w:val="00D52936"/>
    <w:rsid w:val="00DF5B13"/>
    <w:rsid w:val="00E36B74"/>
    <w:rsid w:val="00E539F6"/>
    <w:rsid w:val="00EB4E75"/>
    <w:rsid w:val="00EB6F0C"/>
    <w:rsid w:val="00ED0318"/>
    <w:rsid w:val="00F4499C"/>
    <w:rsid w:val="00F61A03"/>
    <w:rsid w:val="00FE7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BCAC8"/>
  <w15:docId w15:val="{63E7C023-24ED-449C-8AA3-29FD68C5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9" w:line="249" w:lineRule="auto"/>
      <w:ind w:left="10" w:right="4735"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24" w:line="259" w:lineRule="auto"/>
      <w:ind w:left="35" w:hanging="10"/>
      <w:jc w:val="center"/>
      <w:outlineLvl w:val="0"/>
    </w:pPr>
    <w:rPr>
      <w:rFonts w:ascii="Times New Roman" w:eastAsia="Times New Roman" w:hAnsi="Times New Roman" w:cs="Times New Roman"/>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19"/>
    </w:rPr>
  </w:style>
  <w:style w:type="paragraph" w:styleId="ListParagraph">
    <w:name w:val="List Paragraph"/>
    <w:basedOn w:val="Normal"/>
    <w:uiPriority w:val="34"/>
    <w:qFormat/>
    <w:rsid w:val="002233D5"/>
    <w:pPr>
      <w:ind w:left="720"/>
      <w:contextualSpacing/>
    </w:pPr>
  </w:style>
  <w:style w:type="paragraph" w:styleId="Header">
    <w:name w:val="header"/>
    <w:basedOn w:val="Normal"/>
    <w:link w:val="HeaderChar"/>
    <w:uiPriority w:val="99"/>
    <w:unhideWhenUsed/>
    <w:rsid w:val="00223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3D5"/>
    <w:rPr>
      <w:rFonts w:ascii="Times New Roman" w:eastAsia="Times New Roman" w:hAnsi="Times New Roman" w:cs="Times New Roman"/>
      <w:color w:val="000000"/>
    </w:rPr>
  </w:style>
  <w:style w:type="paragraph" w:styleId="Footer">
    <w:name w:val="footer"/>
    <w:basedOn w:val="Normal"/>
    <w:link w:val="FooterChar"/>
    <w:uiPriority w:val="99"/>
    <w:semiHidden/>
    <w:unhideWhenUsed/>
    <w:rsid w:val="002233D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233D5"/>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documents/general/ISO20022_MasterRules.ZI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so20022.org/documents/general/MessageTransportModes.xl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documents/general/ISO20022_MasterRules.ZI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MSKTH6SNCJSU-234293521-54118</_dlc_DocId>
    <_dlc_DocIdUrl xmlns="806285ac-449a-4fb1-8311-58d88e150cc7">
      <Url>https://swiftcorp.sharepoint.com/sites/ps-ow-standards team/_layouts/15/DocIdRedir.aspx?ID=MSKTH6SNCJSU-234293521-54118</Url>
      <Description>MSKTH6SNCJSU-234293521-54118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FCFBD-4FCA-4401-AD41-8BE6A2FD4DF5}">
  <ds:schemaRefs>
    <ds:schemaRef ds:uri="http://schemas.microsoft.com/sharepoint/events"/>
  </ds:schemaRefs>
</ds:datastoreItem>
</file>

<file path=customXml/itemProps2.xml><?xml version="1.0" encoding="utf-8"?>
<ds:datastoreItem xmlns:ds="http://schemas.openxmlformats.org/officeDocument/2006/customXml" ds:itemID="{341C3246-E4F3-4C19-9C27-11CC974BB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6F056-7BBE-408C-B73A-727CE67122E9}">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308765FB-CE78-4618-B0A1-CA55D399DC74}">
  <ds:schemaRefs>
    <ds:schemaRef ds:uri="http://schemas.microsoft.com/sharepoint/v3/contenttype/forms"/>
  </ds:schemaRefs>
</ds:datastoreItem>
</file>

<file path=customXml/itemProps5.xml><?xml version="1.0" encoding="utf-8"?>
<ds:datastoreItem xmlns:ds="http://schemas.openxmlformats.org/officeDocument/2006/customXml" ds:itemID="{F1FF22BD-EEB5-41C0-95CC-4C701C8DF344}">
  <ds:schemaRefs>
    <ds:schemaRef ds:uri="http://schemas.openxmlformats.org/officeDocument/2006/bibliography"/>
  </ds:schemaRefs>
</ds:datastoreItem>
</file>

<file path=docMetadata/LabelInfo.xml><?xml version="1.0" encoding="utf-8"?>
<clbl:labelList xmlns:clbl="http://schemas.microsoft.com/office/2020/mipLabelMetadata">
  <clbl:label id="{0186f862-6c8b-441c-8464-aca05436be79}"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7</Pages>
  <Words>2000</Words>
  <Characters>10945</Characters>
  <Application>Microsoft Office Word</Application>
  <DocSecurity>0</DocSecurity>
  <Lines>179</Lines>
  <Paragraphs>62</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
  <cp:keywords/>
  <cp:lastModifiedBy>STEENO Aurelie</cp:lastModifiedBy>
  <cp:revision>26</cp:revision>
  <dcterms:created xsi:type="dcterms:W3CDTF">2026-07-13T11:32:00Z</dcterms:created>
  <dcterms:modified xsi:type="dcterms:W3CDTF">2026-08-20T09:15:00Z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0197a5d4-9835-45da-90d0-2ba8ea1df0f7</vt:lpwstr>
  </property>
  <property fmtid="{D5CDD505-2E9C-101B-9397-08002B2CF9AE}" pid="4" name="MediaServiceImageTags">
    <vt:lpwstr/>
  </property>
</Properties>
</file>