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897DB" w14:textId="77777777" w:rsidR="00865C2F" w:rsidRPr="00931714" w:rsidRDefault="00865C2F" w:rsidP="005D2709">
      <w:pPr>
        <w:suppressLineNumbers/>
        <w:jc w:val="center"/>
        <w:rPr>
          <w:b/>
          <w:smallCaps/>
          <w:szCs w:val="24"/>
        </w:rPr>
      </w:pPr>
      <w:r w:rsidRPr="00931714">
        <w:rPr>
          <w:b/>
          <w:smallCaps/>
          <w:szCs w:val="24"/>
        </w:rPr>
        <w:t>Business Justification</w:t>
      </w:r>
    </w:p>
    <w:p w14:paraId="03E67A30" w14:textId="77777777" w:rsidR="00F91F93" w:rsidRPr="00931714" w:rsidRDefault="00865C2F" w:rsidP="005D2709">
      <w:pPr>
        <w:suppressLineNumbers/>
        <w:jc w:val="center"/>
        <w:rPr>
          <w:b/>
          <w:smallCaps/>
          <w:szCs w:val="24"/>
        </w:rPr>
      </w:pPr>
      <w:r w:rsidRPr="00931714">
        <w:rPr>
          <w:b/>
          <w:smallCaps/>
          <w:szCs w:val="24"/>
        </w:rPr>
        <w:t xml:space="preserve">for the </w:t>
      </w:r>
      <w:r w:rsidR="0011751D" w:rsidRPr="00931714">
        <w:rPr>
          <w:b/>
          <w:smallCaps/>
          <w:szCs w:val="24"/>
        </w:rPr>
        <w:t xml:space="preserve">development </w:t>
      </w:r>
      <w:r w:rsidRPr="00931714">
        <w:rPr>
          <w:b/>
          <w:smallCaps/>
          <w:szCs w:val="24"/>
        </w:rPr>
        <w:t xml:space="preserve">of </w:t>
      </w:r>
      <w:r w:rsidR="0011751D" w:rsidRPr="00931714">
        <w:rPr>
          <w:b/>
          <w:smallCaps/>
          <w:szCs w:val="24"/>
        </w:rPr>
        <w:t>new</w:t>
      </w:r>
      <w:r w:rsidRPr="00931714">
        <w:rPr>
          <w:b/>
          <w:smallCaps/>
          <w:szCs w:val="24"/>
        </w:rPr>
        <w:t xml:space="preserve"> </w:t>
      </w:r>
      <w:r w:rsidR="00BE444E" w:rsidRPr="00931714">
        <w:rPr>
          <w:b/>
          <w:smallCaps/>
          <w:szCs w:val="24"/>
        </w:rPr>
        <w:t xml:space="preserve">ISO 20022 API resources as </w:t>
      </w:r>
      <w:r w:rsidRPr="00931714">
        <w:rPr>
          <w:b/>
          <w:smallCaps/>
          <w:szCs w:val="24"/>
        </w:rPr>
        <w:t>ISO 20022 financial repository</w:t>
      </w:r>
      <w:r w:rsidR="0011751D" w:rsidRPr="00931714">
        <w:rPr>
          <w:b/>
          <w:smallCaps/>
          <w:szCs w:val="24"/>
        </w:rPr>
        <w:t xml:space="preserve"> items</w:t>
      </w:r>
      <w:r w:rsidR="00BE444E" w:rsidRPr="00931714">
        <w:rPr>
          <w:b/>
          <w:smallCaps/>
          <w:szCs w:val="24"/>
        </w:rPr>
        <w:t>)</w:t>
      </w:r>
    </w:p>
    <w:p w14:paraId="3BEA3DCF" w14:textId="77777777" w:rsidR="00843060" w:rsidRPr="00931714" w:rsidRDefault="00843060" w:rsidP="005D2709">
      <w:pPr>
        <w:suppressLineNumbers/>
        <w:rPr>
          <w:i/>
          <w:szCs w:val="24"/>
        </w:rPr>
      </w:pPr>
    </w:p>
    <w:p w14:paraId="2451F4C9" w14:textId="77777777" w:rsidR="00865C2F" w:rsidRPr="00931714" w:rsidRDefault="00D123C1" w:rsidP="003F666C">
      <w:pPr>
        <w:numPr>
          <w:ilvl w:val="0"/>
          <w:numId w:val="8"/>
        </w:numPr>
        <w:suppressLineNumbers/>
        <w:rPr>
          <w:b/>
          <w:szCs w:val="24"/>
        </w:rPr>
      </w:pPr>
      <w:r w:rsidRPr="00931714">
        <w:rPr>
          <w:b/>
          <w:szCs w:val="24"/>
        </w:rPr>
        <w:t>Name of the request:</w:t>
      </w:r>
    </w:p>
    <w:p w14:paraId="77287A8A" w14:textId="77777777" w:rsidR="00D44646" w:rsidRPr="00931714" w:rsidRDefault="006727F5" w:rsidP="00D44646">
      <w:pPr>
        <w:suppressLineNumbers/>
        <w:rPr>
          <w:szCs w:val="24"/>
        </w:rPr>
      </w:pPr>
      <w:r w:rsidRPr="00931714">
        <w:rPr>
          <w:szCs w:val="24"/>
        </w:rPr>
        <w:t>AIS for Securities Accounts</w:t>
      </w:r>
    </w:p>
    <w:p w14:paraId="66F1F0D3" w14:textId="77777777" w:rsidR="00577BCC" w:rsidRPr="00931714" w:rsidRDefault="00577BCC" w:rsidP="003F666C">
      <w:pPr>
        <w:numPr>
          <w:ilvl w:val="0"/>
          <w:numId w:val="8"/>
        </w:numPr>
        <w:suppressLineNumbers/>
        <w:rPr>
          <w:b/>
          <w:szCs w:val="24"/>
        </w:rPr>
      </w:pPr>
      <w:r w:rsidRPr="00931714">
        <w:rPr>
          <w:b/>
          <w:szCs w:val="24"/>
        </w:rPr>
        <w:t xml:space="preserve">Submitting </w:t>
      </w:r>
      <w:r w:rsidR="001F7568" w:rsidRPr="00931714">
        <w:rPr>
          <w:b/>
          <w:szCs w:val="24"/>
        </w:rPr>
        <w:t>organisation</w:t>
      </w:r>
      <w:r w:rsidR="008A7F65" w:rsidRPr="00931714">
        <w:rPr>
          <w:b/>
          <w:szCs w:val="24"/>
        </w:rPr>
        <w:t>(s)</w:t>
      </w:r>
      <w:r w:rsidRPr="00931714">
        <w:rPr>
          <w:b/>
          <w:szCs w:val="24"/>
        </w:rPr>
        <w:t>:</w:t>
      </w:r>
    </w:p>
    <w:p w14:paraId="6AB0AFAF" w14:textId="77777777" w:rsidR="00D44646" w:rsidRPr="00931714" w:rsidRDefault="00F02B6C" w:rsidP="00DD7ED1">
      <w:pPr>
        <w:rPr>
          <w:szCs w:val="24"/>
        </w:rPr>
      </w:pPr>
      <w:r w:rsidRPr="00931714">
        <w:rPr>
          <w:i/>
          <w:szCs w:val="24"/>
        </w:rPr>
        <w:t>B</w:t>
      </w:r>
      <w:r w:rsidR="00D44646" w:rsidRPr="00931714">
        <w:rPr>
          <w:i/>
          <w:szCs w:val="24"/>
        </w:rPr>
        <w:t>.1 Submitter</w:t>
      </w:r>
      <w:r w:rsidR="00D44646" w:rsidRPr="00931714">
        <w:rPr>
          <w:szCs w:val="24"/>
        </w:rPr>
        <w:t xml:space="preserve">: Berlin Group as a European Standardisation Initiative, in the name of BITS, </w:t>
      </w:r>
      <w:r w:rsidR="00CE2B09">
        <w:rPr>
          <w:szCs w:val="24"/>
        </w:rPr>
        <w:t xml:space="preserve">CBI, </w:t>
      </w:r>
      <w:r w:rsidR="00D44646" w:rsidRPr="00931714">
        <w:rPr>
          <w:szCs w:val="24"/>
        </w:rPr>
        <w:t xml:space="preserve">Dutch Payment Association, Worldline, German Banking Industry Committee, PAN Nordic Card Association, Payment Services Austria, </w:t>
      </w:r>
      <w:proofErr w:type="spellStart"/>
      <w:r w:rsidR="00D44646" w:rsidRPr="00931714">
        <w:rPr>
          <w:szCs w:val="24"/>
        </w:rPr>
        <w:t>Redsys</w:t>
      </w:r>
      <w:proofErr w:type="spellEnd"/>
      <w:r w:rsidR="00D44646" w:rsidRPr="00931714">
        <w:rPr>
          <w:szCs w:val="24"/>
        </w:rPr>
        <w:t>, SIBS, STET, and many other bank associations, banks or processors from the European region.</w:t>
      </w:r>
    </w:p>
    <w:p w14:paraId="1750AF08" w14:textId="77777777" w:rsidR="00D44646" w:rsidRPr="00931714" w:rsidRDefault="00F02B6C" w:rsidP="00DD7ED1">
      <w:pPr>
        <w:rPr>
          <w:szCs w:val="24"/>
        </w:rPr>
      </w:pPr>
      <w:r w:rsidRPr="00931714">
        <w:rPr>
          <w:i/>
          <w:szCs w:val="24"/>
        </w:rPr>
        <w:t>B</w:t>
      </w:r>
      <w:r w:rsidR="00D44646" w:rsidRPr="00931714">
        <w:rPr>
          <w:i/>
          <w:szCs w:val="24"/>
        </w:rPr>
        <w:t>.2 Contact person:</w:t>
      </w:r>
      <w:r w:rsidR="00D44646" w:rsidRPr="00931714">
        <w:rPr>
          <w:szCs w:val="24"/>
        </w:rPr>
        <w:t xml:space="preserve"> Ortwin Scheja, </w:t>
      </w:r>
      <w:hyperlink r:id="rId12" w:history="1">
        <w:r w:rsidR="00D44646" w:rsidRPr="00931714">
          <w:rPr>
            <w:rStyle w:val="Hyperlink"/>
            <w:szCs w:val="24"/>
          </w:rPr>
          <w:t>ortwin.scheja@src-gmbh.de</w:t>
        </w:r>
      </w:hyperlink>
      <w:r w:rsidR="00D44646" w:rsidRPr="00931714">
        <w:rPr>
          <w:szCs w:val="24"/>
        </w:rPr>
        <w:t>, +49 228 2806109.</w:t>
      </w:r>
    </w:p>
    <w:p w14:paraId="0D579350" w14:textId="77777777" w:rsidR="00D44646" w:rsidRPr="00931714" w:rsidRDefault="00F02B6C" w:rsidP="00DD7ED1">
      <w:pPr>
        <w:rPr>
          <w:szCs w:val="24"/>
        </w:rPr>
      </w:pPr>
      <w:r w:rsidRPr="00931714">
        <w:rPr>
          <w:i/>
          <w:szCs w:val="24"/>
        </w:rPr>
        <w:t>B</w:t>
      </w:r>
      <w:r w:rsidR="00D44646" w:rsidRPr="00931714">
        <w:rPr>
          <w:i/>
          <w:szCs w:val="24"/>
        </w:rPr>
        <w:t>.3 Sponsors</w:t>
      </w:r>
      <w:r w:rsidR="00D44646" w:rsidRPr="00931714">
        <w:rPr>
          <w:szCs w:val="24"/>
        </w:rPr>
        <w:t>: please see the above list, dedicated contact persons can be named if applicable for every organisation.</w:t>
      </w:r>
    </w:p>
    <w:p w14:paraId="73BB0986" w14:textId="77777777" w:rsidR="00770026" w:rsidRPr="00931714" w:rsidRDefault="00865C2F" w:rsidP="00770026">
      <w:pPr>
        <w:numPr>
          <w:ilvl w:val="0"/>
          <w:numId w:val="8"/>
        </w:numPr>
        <w:suppressLineNumbers/>
        <w:rPr>
          <w:szCs w:val="24"/>
        </w:rPr>
      </w:pPr>
      <w:r w:rsidRPr="00931714">
        <w:rPr>
          <w:b/>
          <w:szCs w:val="24"/>
        </w:rPr>
        <w:t xml:space="preserve">Scope of the </w:t>
      </w:r>
      <w:r w:rsidR="008A7F65" w:rsidRPr="00931714">
        <w:rPr>
          <w:b/>
          <w:szCs w:val="24"/>
        </w:rPr>
        <w:t>new development</w:t>
      </w:r>
      <w:r w:rsidRPr="00931714">
        <w:rPr>
          <w:b/>
          <w:szCs w:val="24"/>
        </w:rPr>
        <w:t>:</w:t>
      </w:r>
      <w:r w:rsidR="003C1216" w:rsidRPr="00931714">
        <w:rPr>
          <w:b/>
          <w:szCs w:val="24"/>
        </w:rPr>
        <w:t xml:space="preserve"> </w:t>
      </w:r>
    </w:p>
    <w:p w14:paraId="696952FD" w14:textId="77777777" w:rsidR="00931714" w:rsidRDefault="00931714" w:rsidP="00E66786">
      <w:pPr>
        <w:suppressLineNumbers/>
      </w:pPr>
      <w:r>
        <w:t>Given the focus on securities account information, the submitting organisation proposes that the evaluation of the candidate ISO 20022 API resources</w:t>
      </w:r>
      <w:r w:rsidR="008D2121">
        <w:t xml:space="preserve"> (AIS for Securities Accounts)</w:t>
      </w:r>
      <w:r>
        <w:t xml:space="preserve"> </w:t>
      </w:r>
      <w:r w:rsidR="00C433C0">
        <w:t xml:space="preserve">will </w:t>
      </w:r>
      <w:r>
        <w:t>be assigned to the Securities Standards Evaluation Group (Securities SEG).</w:t>
      </w:r>
    </w:p>
    <w:p w14:paraId="08A190C0" w14:textId="77777777" w:rsidR="00E66786" w:rsidRPr="00931714" w:rsidRDefault="00931714" w:rsidP="00E66786">
      <w:pPr>
        <w:suppressLineNumbers/>
        <w:rPr>
          <w:color w:val="000000"/>
          <w:szCs w:val="24"/>
        </w:rPr>
      </w:pPr>
      <w:r>
        <w:t xml:space="preserve">At an Access to Account (XS2A) interface, an Account Information Service Provider (AISP) may operate an Account Information Service (AIS) for Payment Service Users (PSUs), enabling them to easily retrieve various types of information from their bank accounts, as defined in Article 67 of the </w:t>
      </w:r>
      <w:r w:rsidR="006825CC">
        <w:t xml:space="preserve">European </w:t>
      </w:r>
      <w:r>
        <w:t>PSD2 directive.</w:t>
      </w:r>
      <w:r w:rsidR="006727F5" w:rsidRPr="00931714">
        <w:rPr>
          <w:color w:val="000000"/>
          <w:szCs w:val="24"/>
        </w:rPr>
        <w:t xml:space="preserve"> </w:t>
      </w:r>
    </w:p>
    <w:p w14:paraId="393ACB40" w14:textId="77777777" w:rsidR="002C65DE" w:rsidRDefault="00467415" w:rsidP="000A0CE8">
      <w:r>
        <w:t xml:space="preserve">Initially, </w:t>
      </w:r>
      <w:r w:rsidR="008D2121">
        <w:t xml:space="preserve">these </w:t>
      </w:r>
      <w:r>
        <w:t xml:space="preserve">accounts were </w:t>
      </w:r>
      <w:r w:rsidR="00C433C0">
        <w:t>mostly</w:t>
      </w:r>
      <w:r>
        <w:t xml:space="preserve"> payment accounts. Recently, dedicated endpoints for card accounts, (individual) cards, savings accounts, and loan accounts have also been </w:t>
      </w:r>
      <w:r w:rsidR="006825CC">
        <w:t>standardised by Berlin Group and first implementations have been driven forward</w:t>
      </w:r>
      <w:r>
        <w:t>. However, the current endpoints do not provide a data model</w:t>
      </w:r>
      <w:r w:rsidR="00C433C0">
        <w:t xml:space="preserve"> that is</w:t>
      </w:r>
      <w:r>
        <w:t xml:space="preserve"> capable of capturing the relevant information of securities account</w:t>
      </w:r>
      <w:r w:rsidR="008D2121">
        <w:t>s</w:t>
      </w:r>
      <w:r>
        <w:t>. The absence of</w:t>
      </w:r>
      <w:r w:rsidR="008D2121">
        <w:t xml:space="preserve"> such</w:t>
      </w:r>
      <w:r>
        <w:t xml:space="preserve"> dedicated securities account endpoints is addressed in the present proposal, which introduces the necessary resources to support comprehensive securities account data</w:t>
      </w:r>
      <w:r w:rsidR="00C433C0">
        <w:t>.</w:t>
      </w:r>
    </w:p>
    <w:p w14:paraId="1F942441" w14:textId="77777777" w:rsidR="00931714" w:rsidRPr="00931714" w:rsidRDefault="00931714" w:rsidP="000A0CE8">
      <w:pPr>
        <w:rPr>
          <w:color w:val="000000"/>
          <w:szCs w:val="24"/>
          <w:lang w:eastAsia="de-DE"/>
        </w:rPr>
      </w:pPr>
      <w:r>
        <w:t xml:space="preserve">A high-level diagram illustrating the involved actors, their respective roles, and the business process </w:t>
      </w:r>
      <w:r w:rsidR="00C433C0">
        <w:t xml:space="preserve">for an AIS for Securities Accounts </w:t>
      </w:r>
      <w:r>
        <w:t>is shown in the figure below (a detailed illustration of the consent flow is not included in this diagram).</w:t>
      </w:r>
    </w:p>
    <w:p w14:paraId="113F8877" w14:textId="77777777" w:rsidR="00E90076" w:rsidRPr="00931714" w:rsidRDefault="003E0261" w:rsidP="002C65DE">
      <w:pPr>
        <w:jc w:val="center"/>
        <w:rPr>
          <w:noProof/>
        </w:rPr>
      </w:pPr>
      <w:r w:rsidRPr="00931714">
        <w:rPr>
          <w:noProof/>
        </w:rPr>
        <w:lastRenderedPageBreak/>
        <w:drawing>
          <wp:inline distT="0" distB="0" distL="0" distR="0" wp14:anchorId="237AAEFF" wp14:editId="34982881">
            <wp:extent cx="4960142" cy="18573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287" cy="1897497"/>
                    </a:xfrm>
                    <a:prstGeom prst="rect">
                      <a:avLst/>
                    </a:prstGeom>
                    <a:noFill/>
                    <a:ln>
                      <a:noFill/>
                    </a:ln>
                  </pic:spPr>
                </pic:pic>
              </a:graphicData>
            </a:graphic>
          </wp:inline>
        </w:drawing>
      </w:r>
    </w:p>
    <w:p w14:paraId="4D62EF35" w14:textId="77777777" w:rsidR="00D9778C" w:rsidRPr="00931714" w:rsidRDefault="00C433C0" w:rsidP="00D9778C">
      <w:pPr>
        <w:rPr>
          <w:color w:val="000000"/>
          <w:szCs w:val="24"/>
        </w:rPr>
      </w:pPr>
      <w:r>
        <w:t xml:space="preserve">In the </w:t>
      </w:r>
      <w:r w:rsidR="00931714">
        <w:t>following</w:t>
      </w:r>
      <w:r>
        <w:t>, the</w:t>
      </w:r>
      <w:r w:rsidR="00931714">
        <w:t xml:space="preserve"> new </w:t>
      </w:r>
      <w:r w:rsidR="008D2121">
        <w:t>resources</w:t>
      </w:r>
      <w:r w:rsidR="00931714">
        <w:t>/message types</w:t>
      </w:r>
      <w:r>
        <w:t>, which are proposed</w:t>
      </w:r>
      <w:r w:rsidR="00931714">
        <w:t xml:space="preserve"> for </w:t>
      </w:r>
      <w:r>
        <w:t xml:space="preserve">the AIS for </w:t>
      </w:r>
      <w:r w:rsidR="00931714">
        <w:t>Securities Accounts</w:t>
      </w:r>
      <w:r>
        <w:t>,</w:t>
      </w:r>
      <w:r w:rsidR="00931714">
        <w:t xml:space="preserve"> are </w:t>
      </w:r>
      <w:r>
        <w:t>introduced. The business transaction involves the retrieval of securities account information by the AISP on behalf of the PSU. All involved message types utilise the GET method and are listed below:</w:t>
      </w:r>
    </w:p>
    <w:p w14:paraId="677FA403" w14:textId="77777777" w:rsidR="00D9778C" w:rsidRPr="00931714" w:rsidRDefault="00D9778C" w:rsidP="00D9778C">
      <w:pPr>
        <w:numPr>
          <w:ilvl w:val="0"/>
          <w:numId w:val="16"/>
        </w:numPr>
        <w:rPr>
          <w:color w:val="000000"/>
          <w:szCs w:val="24"/>
        </w:rPr>
      </w:pPr>
      <w:r w:rsidRPr="00931714">
        <w:rPr>
          <w:color w:val="000000"/>
          <w:szCs w:val="24"/>
        </w:rPr>
        <w:t>Read Securities Accounts List</w:t>
      </w:r>
      <w:r w:rsidR="007F36DF" w:rsidRPr="00931714">
        <w:rPr>
          <w:color w:val="000000"/>
          <w:szCs w:val="24"/>
        </w:rPr>
        <w:t>, GET</w:t>
      </w:r>
    </w:p>
    <w:p w14:paraId="26C3E62D" w14:textId="77777777" w:rsidR="00D9778C" w:rsidRPr="00931714" w:rsidRDefault="00931714" w:rsidP="000A0CE8">
      <w:pPr>
        <w:numPr>
          <w:ilvl w:val="0"/>
          <w:numId w:val="40"/>
        </w:numPr>
        <w:rPr>
          <w:color w:val="000000"/>
          <w:szCs w:val="24"/>
        </w:rPr>
      </w:pPr>
      <w:r>
        <w:t>This message type retrieves a list of securities accounts.</w:t>
      </w:r>
    </w:p>
    <w:p w14:paraId="44621314" w14:textId="77777777" w:rsidR="00D9778C" w:rsidRPr="00931714" w:rsidRDefault="00D9778C" w:rsidP="00D9778C">
      <w:pPr>
        <w:numPr>
          <w:ilvl w:val="0"/>
          <w:numId w:val="16"/>
        </w:numPr>
        <w:rPr>
          <w:color w:val="000000"/>
          <w:szCs w:val="24"/>
        </w:rPr>
      </w:pPr>
      <w:r w:rsidRPr="00931714">
        <w:rPr>
          <w:color w:val="000000"/>
          <w:szCs w:val="24"/>
        </w:rPr>
        <w:t>Read Securities Account Details</w:t>
      </w:r>
      <w:r w:rsidR="007F36DF" w:rsidRPr="00931714">
        <w:rPr>
          <w:color w:val="000000"/>
          <w:szCs w:val="24"/>
        </w:rPr>
        <w:t>, GET</w:t>
      </w:r>
    </w:p>
    <w:p w14:paraId="0182D217" w14:textId="77777777" w:rsidR="00D9778C" w:rsidRPr="00931714" w:rsidRDefault="00931714" w:rsidP="00D9778C">
      <w:pPr>
        <w:numPr>
          <w:ilvl w:val="0"/>
          <w:numId w:val="17"/>
        </w:numPr>
        <w:rPr>
          <w:color w:val="000000"/>
          <w:szCs w:val="24"/>
        </w:rPr>
      </w:pPr>
      <w:r>
        <w:t>This message type retrieves detailed information on a specific securities account.</w:t>
      </w:r>
      <w:r w:rsidR="00DD7ED1" w:rsidRPr="00931714">
        <w:rPr>
          <w:color w:val="000000"/>
          <w:szCs w:val="24"/>
        </w:rPr>
        <w:t xml:space="preserve"> </w:t>
      </w:r>
    </w:p>
    <w:p w14:paraId="12C27E72" w14:textId="77777777" w:rsidR="00D9778C" w:rsidRPr="00931714" w:rsidRDefault="00D9778C" w:rsidP="00D9778C">
      <w:pPr>
        <w:numPr>
          <w:ilvl w:val="0"/>
          <w:numId w:val="16"/>
        </w:numPr>
        <w:rPr>
          <w:color w:val="000000"/>
          <w:szCs w:val="24"/>
        </w:rPr>
      </w:pPr>
      <w:r w:rsidRPr="00931714">
        <w:rPr>
          <w:color w:val="000000"/>
          <w:szCs w:val="24"/>
        </w:rPr>
        <w:t>Read Securities Account Positions</w:t>
      </w:r>
      <w:r w:rsidR="007F36DF" w:rsidRPr="00931714">
        <w:rPr>
          <w:color w:val="000000"/>
          <w:szCs w:val="24"/>
        </w:rPr>
        <w:t>, GET</w:t>
      </w:r>
    </w:p>
    <w:p w14:paraId="4A7996D5" w14:textId="77777777" w:rsidR="00770026" w:rsidRPr="00931714" w:rsidRDefault="00931714" w:rsidP="00770026">
      <w:pPr>
        <w:numPr>
          <w:ilvl w:val="0"/>
          <w:numId w:val="17"/>
        </w:numPr>
        <w:rPr>
          <w:color w:val="000000"/>
          <w:szCs w:val="24"/>
        </w:rPr>
      </w:pPr>
      <w:r>
        <w:t>This message type retrieves the portfolio associated with a securities account.</w:t>
      </w:r>
    </w:p>
    <w:p w14:paraId="359C504B" w14:textId="77777777" w:rsidR="00D9778C" w:rsidRPr="00931714" w:rsidRDefault="00D9778C" w:rsidP="00D9778C">
      <w:pPr>
        <w:numPr>
          <w:ilvl w:val="0"/>
          <w:numId w:val="16"/>
        </w:numPr>
        <w:rPr>
          <w:color w:val="000000"/>
          <w:szCs w:val="24"/>
        </w:rPr>
      </w:pPr>
      <w:r w:rsidRPr="00931714">
        <w:rPr>
          <w:color w:val="000000"/>
          <w:szCs w:val="24"/>
        </w:rPr>
        <w:t>Read Securities Account Transaction List</w:t>
      </w:r>
      <w:r w:rsidR="007F36DF" w:rsidRPr="00931714">
        <w:rPr>
          <w:color w:val="000000"/>
          <w:szCs w:val="24"/>
        </w:rPr>
        <w:t>, GET</w:t>
      </w:r>
    </w:p>
    <w:p w14:paraId="48C12669" w14:textId="77777777" w:rsidR="00DD7ED1" w:rsidRPr="00931714" w:rsidRDefault="00931714" w:rsidP="00DD7ED1">
      <w:pPr>
        <w:numPr>
          <w:ilvl w:val="0"/>
          <w:numId w:val="17"/>
        </w:numPr>
        <w:rPr>
          <w:color w:val="000000"/>
          <w:szCs w:val="24"/>
        </w:rPr>
      </w:pPr>
      <w:r>
        <w:t>This message type retrieves the transaction list of a specified securities account.</w:t>
      </w:r>
      <w:r w:rsidR="00DD7ED1" w:rsidRPr="00931714">
        <w:rPr>
          <w:color w:val="000000"/>
          <w:szCs w:val="24"/>
        </w:rPr>
        <w:t xml:space="preserve"> </w:t>
      </w:r>
    </w:p>
    <w:p w14:paraId="34EB69D4" w14:textId="77777777" w:rsidR="00D9778C" w:rsidRPr="00931714" w:rsidRDefault="00D9778C" w:rsidP="00D9778C">
      <w:pPr>
        <w:numPr>
          <w:ilvl w:val="0"/>
          <w:numId w:val="16"/>
        </w:numPr>
        <w:rPr>
          <w:color w:val="000000"/>
          <w:szCs w:val="24"/>
        </w:rPr>
      </w:pPr>
      <w:r w:rsidRPr="00931714">
        <w:rPr>
          <w:color w:val="000000"/>
          <w:szCs w:val="24"/>
        </w:rPr>
        <w:t>Read Securities Transaction Details</w:t>
      </w:r>
      <w:r w:rsidR="007F36DF" w:rsidRPr="00931714">
        <w:rPr>
          <w:color w:val="000000"/>
          <w:szCs w:val="24"/>
        </w:rPr>
        <w:t>, GET</w:t>
      </w:r>
    </w:p>
    <w:p w14:paraId="4647C222" w14:textId="77777777" w:rsidR="00DD7ED1" w:rsidRPr="00931714" w:rsidRDefault="00931714" w:rsidP="00DD7ED1">
      <w:pPr>
        <w:numPr>
          <w:ilvl w:val="0"/>
          <w:numId w:val="17"/>
        </w:numPr>
        <w:rPr>
          <w:color w:val="000000"/>
          <w:szCs w:val="24"/>
        </w:rPr>
      </w:pPr>
      <w:r>
        <w:t>This message type retrieves details of a specific transaction for a securities account.</w:t>
      </w:r>
      <w:r w:rsidR="00DD7ED1" w:rsidRPr="00931714">
        <w:rPr>
          <w:rFonts w:cs="Arial"/>
          <w:color w:val="000000"/>
          <w:szCs w:val="24"/>
        </w:rPr>
        <w:t xml:space="preserve"> </w:t>
      </w:r>
    </w:p>
    <w:p w14:paraId="49EF5D34" w14:textId="77777777" w:rsidR="00D9778C" w:rsidRPr="00931714" w:rsidRDefault="00D9778C" w:rsidP="00D9778C">
      <w:pPr>
        <w:numPr>
          <w:ilvl w:val="0"/>
          <w:numId w:val="16"/>
        </w:numPr>
        <w:rPr>
          <w:color w:val="000000"/>
          <w:szCs w:val="24"/>
        </w:rPr>
      </w:pPr>
      <w:r w:rsidRPr="00931714">
        <w:rPr>
          <w:color w:val="000000"/>
          <w:szCs w:val="24"/>
        </w:rPr>
        <w:t>Read Securities Order List</w:t>
      </w:r>
      <w:r w:rsidR="007F36DF" w:rsidRPr="00931714">
        <w:rPr>
          <w:color w:val="000000"/>
          <w:szCs w:val="24"/>
        </w:rPr>
        <w:t>, GET</w:t>
      </w:r>
    </w:p>
    <w:p w14:paraId="7ED77F56" w14:textId="77777777" w:rsidR="00DD7ED1" w:rsidRPr="00931714" w:rsidRDefault="00931714" w:rsidP="00DD7ED1">
      <w:pPr>
        <w:numPr>
          <w:ilvl w:val="0"/>
          <w:numId w:val="17"/>
        </w:numPr>
        <w:rPr>
          <w:color w:val="000000"/>
          <w:szCs w:val="24"/>
        </w:rPr>
      </w:pPr>
      <w:r>
        <w:t>This message type retrieves all securities orders still maintained in the ASPSP’s database.</w:t>
      </w:r>
      <w:r w:rsidR="00DD7ED1" w:rsidRPr="00931714">
        <w:rPr>
          <w:rFonts w:cs="Arial"/>
          <w:color w:val="000000"/>
          <w:szCs w:val="24"/>
        </w:rPr>
        <w:t xml:space="preserve"> </w:t>
      </w:r>
    </w:p>
    <w:p w14:paraId="2C3CF237" w14:textId="77777777" w:rsidR="00D9778C" w:rsidRPr="00931714" w:rsidRDefault="00D9778C" w:rsidP="00D9778C">
      <w:pPr>
        <w:numPr>
          <w:ilvl w:val="0"/>
          <w:numId w:val="16"/>
        </w:numPr>
        <w:rPr>
          <w:color w:val="000000"/>
          <w:szCs w:val="24"/>
        </w:rPr>
      </w:pPr>
      <w:r w:rsidRPr="00931714">
        <w:rPr>
          <w:color w:val="000000"/>
          <w:szCs w:val="24"/>
        </w:rPr>
        <w:t>Read Securities Order Details</w:t>
      </w:r>
      <w:r w:rsidR="007F36DF" w:rsidRPr="00931714">
        <w:rPr>
          <w:color w:val="000000"/>
          <w:szCs w:val="24"/>
        </w:rPr>
        <w:t>, GET</w:t>
      </w:r>
    </w:p>
    <w:p w14:paraId="3924F814" w14:textId="77777777" w:rsidR="00D9778C" w:rsidRPr="00C433C0" w:rsidRDefault="00931714" w:rsidP="000A0CE8">
      <w:pPr>
        <w:numPr>
          <w:ilvl w:val="0"/>
          <w:numId w:val="17"/>
        </w:numPr>
        <w:rPr>
          <w:rFonts w:cs="Arial"/>
          <w:color w:val="000000"/>
          <w:szCs w:val="24"/>
        </w:rPr>
      </w:pPr>
      <w:r>
        <w:t>This message type retrieves details of a specific order</w:t>
      </w:r>
      <w:r w:rsidR="008D2121">
        <w:t xml:space="preserve"> </w:t>
      </w:r>
      <w:r>
        <w:t>for a given securities account.</w:t>
      </w:r>
    </w:p>
    <w:p w14:paraId="5A4DF7C6" w14:textId="77777777" w:rsidR="0044399E" w:rsidRDefault="00931714" w:rsidP="007A6AF1">
      <w:r>
        <w:t>In the proposed use case, the ASPSP acts as the provider of the API services, delivering securities account and portfolio data via ISO 20022-compliant interfaces. The AISP is the consumer of these services, accessing and aggregating the data on behalf of the PSU or other services, based on prior consent granted by the PSU.</w:t>
      </w:r>
    </w:p>
    <w:p w14:paraId="7C273EF8" w14:textId="77777777" w:rsidR="007A6AF1" w:rsidRPr="00931714" w:rsidRDefault="0044399E" w:rsidP="007A6AF1">
      <w:r>
        <w:t>There are both upstream and downstream information flows associated with the AIS for Securities Accounts business process. Upstream systems - such as custodian banks or internal data repositories - supply holdings and transaction data. Downstream, the retrieved data is aggregated, visualised, and processed by the AISP for purposes such as display, analytics, or integration into additional business services.</w:t>
      </w:r>
    </w:p>
    <w:p w14:paraId="08A79A59" w14:textId="77777777" w:rsidR="00F7463F" w:rsidRPr="00931714" w:rsidRDefault="00C33538" w:rsidP="007F36DF">
      <w:pPr>
        <w:rPr>
          <w:b/>
        </w:rPr>
      </w:pPr>
      <w:r>
        <w:lastRenderedPageBreak/>
        <w:t>Such additional business services</w:t>
      </w:r>
      <w:r w:rsidR="0044399E">
        <w:t xml:space="preserve"> include portfolio analysis, investment advisory, risk and liquidity management, tax reporting, and client-facing digital services (e.g. investor portals). The API enables real-time access to securities positions and transactions, thereby supporting automation across these various use cases.</w:t>
      </w:r>
    </w:p>
    <w:p w14:paraId="20D8EB53" w14:textId="77777777" w:rsidR="00005D1E" w:rsidRPr="00005D1E" w:rsidRDefault="0044399E" w:rsidP="00005D1E">
      <w:pPr>
        <w:spacing w:before="100" w:beforeAutospacing="1" w:after="100" w:afterAutospacing="1"/>
        <w:rPr>
          <w:rFonts w:eastAsia="Times New Roman"/>
          <w:szCs w:val="24"/>
          <w:lang w:eastAsia="de-DE"/>
        </w:rPr>
      </w:pPr>
      <w:r>
        <w:t>The requested AIS for Securities Accounts API resources may also be applicable to other ISO 20022 business domains, as outlined below:</w:t>
      </w:r>
    </w:p>
    <w:p w14:paraId="3CC8A253" w14:textId="77777777" w:rsidR="00005D1E" w:rsidRPr="00931714" w:rsidRDefault="00005D1E" w:rsidP="00005D1E">
      <w:pPr>
        <w:numPr>
          <w:ilvl w:val="0"/>
          <w:numId w:val="32"/>
        </w:numPr>
        <w:spacing w:before="100" w:beforeAutospacing="1" w:after="100" w:afterAutospacing="1"/>
        <w:rPr>
          <w:rFonts w:eastAsia="Times New Roman"/>
          <w:szCs w:val="24"/>
          <w:lang w:eastAsia="de-DE"/>
        </w:rPr>
      </w:pPr>
      <w:r w:rsidRPr="00931714">
        <w:rPr>
          <w:rFonts w:eastAsia="Times New Roman"/>
          <w:b/>
          <w:bCs/>
          <w:szCs w:val="24"/>
          <w:lang w:eastAsia="de-DE"/>
        </w:rPr>
        <w:t>Payments</w:t>
      </w:r>
      <w:r w:rsidRPr="00005D1E">
        <w:rPr>
          <w:rFonts w:eastAsia="Times New Roman"/>
          <w:szCs w:val="24"/>
          <w:lang w:eastAsia="de-DE"/>
        </w:rPr>
        <w:t xml:space="preserve">: </w:t>
      </w:r>
      <w:r w:rsidR="0044399E">
        <w:t>The API can support transactions related to securities purchases and sales by enabling seamless integration of payment and securities transaction data.</w:t>
      </w:r>
    </w:p>
    <w:p w14:paraId="78081574" w14:textId="77777777" w:rsidR="00203AF3" w:rsidRPr="00005D1E" w:rsidRDefault="00203AF3" w:rsidP="00005D1E">
      <w:pPr>
        <w:numPr>
          <w:ilvl w:val="0"/>
          <w:numId w:val="32"/>
        </w:numPr>
        <w:spacing w:before="100" w:beforeAutospacing="1" w:after="100" w:afterAutospacing="1"/>
        <w:rPr>
          <w:rFonts w:eastAsia="Times New Roman"/>
          <w:szCs w:val="24"/>
          <w:lang w:eastAsia="de-DE"/>
        </w:rPr>
      </w:pPr>
      <w:r w:rsidRPr="00931714">
        <w:rPr>
          <w:rFonts w:eastAsia="Times New Roman"/>
          <w:b/>
          <w:bCs/>
          <w:szCs w:val="24"/>
          <w:lang w:eastAsia="de-DE"/>
        </w:rPr>
        <w:t xml:space="preserve">Trade Finance: </w:t>
      </w:r>
      <w:r w:rsidR="0044399E">
        <w:t>The API could be employed to monitor collateral - such as securities - used to secure financing instruments including letters of credit.</w:t>
      </w:r>
    </w:p>
    <w:p w14:paraId="692BF208" w14:textId="77777777" w:rsidR="00005D1E" w:rsidRPr="00005D1E" w:rsidRDefault="00005D1E" w:rsidP="00005D1E">
      <w:pPr>
        <w:numPr>
          <w:ilvl w:val="0"/>
          <w:numId w:val="32"/>
        </w:numPr>
        <w:spacing w:before="100" w:beforeAutospacing="1" w:after="100" w:afterAutospacing="1"/>
        <w:rPr>
          <w:rFonts w:eastAsia="Times New Roman"/>
          <w:szCs w:val="24"/>
          <w:lang w:eastAsia="de-DE"/>
        </w:rPr>
      </w:pPr>
      <w:r w:rsidRPr="00931714">
        <w:rPr>
          <w:rFonts w:eastAsia="Times New Roman"/>
          <w:b/>
          <w:bCs/>
          <w:szCs w:val="24"/>
          <w:lang w:eastAsia="de-DE"/>
        </w:rPr>
        <w:t>Foreign Exchange (FX)</w:t>
      </w:r>
      <w:r w:rsidRPr="00005D1E">
        <w:rPr>
          <w:rFonts w:eastAsia="Times New Roman"/>
          <w:szCs w:val="24"/>
          <w:lang w:eastAsia="de-DE"/>
        </w:rPr>
        <w:t xml:space="preserve">: </w:t>
      </w:r>
      <w:r w:rsidR="0044399E">
        <w:t>The API could facilitate currency conversion for portfolio valuations, particularly where securities are held in multiple currencies, thereby supporting cross-border investment activities.</w:t>
      </w:r>
    </w:p>
    <w:p w14:paraId="55F11684" w14:textId="77777777" w:rsidR="00A97C37" w:rsidRDefault="0044399E" w:rsidP="0034322D">
      <w:pPr>
        <w:suppressLineNumbers/>
      </w:pPr>
      <w:r>
        <w:t>The requested API resources for AIS Securities are also closely aligned with several existing ISO 20022 repository items</w:t>
      </w:r>
      <w:r w:rsidR="00DC276A">
        <w:t xml:space="preserve">. </w:t>
      </w:r>
      <w:r w:rsidR="00574208">
        <w:t>The following table outlines the alignment and distinctions between the proposed API resources and existing ISO 20022 message definitions:</w:t>
      </w:r>
    </w:p>
    <w:p w14:paraId="1CF9983A" w14:textId="77777777" w:rsidR="00C33538" w:rsidRDefault="00C33538" w:rsidP="0034322D">
      <w:pPr>
        <w:suppressLineNumbers/>
      </w:pPr>
    </w:p>
    <w:tbl>
      <w:tblPr>
        <w:tblStyle w:val="Tabellenraster"/>
        <w:tblW w:w="0" w:type="auto"/>
        <w:tblInd w:w="0" w:type="dxa"/>
        <w:tblLook w:val="04A0" w:firstRow="1" w:lastRow="0" w:firstColumn="1" w:lastColumn="0" w:noHBand="0" w:noVBand="1"/>
      </w:tblPr>
      <w:tblGrid>
        <w:gridCol w:w="2619"/>
        <w:gridCol w:w="3063"/>
        <w:gridCol w:w="3286"/>
      </w:tblGrid>
      <w:tr w:rsidR="00574208" w14:paraId="00D5782A" w14:textId="77777777" w:rsidTr="00A97C37">
        <w:tc>
          <w:tcPr>
            <w:tcW w:w="2660" w:type="dxa"/>
          </w:tcPr>
          <w:p w14:paraId="2E51AD7B" w14:textId="77777777" w:rsidR="00574208" w:rsidRPr="00A97C37" w:rsidRDefault="00574208" w:rsidP="00A97C37">
            <w:pPr>
              <w:suppressLineNumbers/>
              <w:spacing w:before="0" w:after="0"/>
              <w:rPr>
                <w:b/>
              </w:rPr>
            </w:pPr>
            <w:r w:rsidRPr="00A97C37">
              <w:rPr>
                <w:b/>
              </w:rPr>
              <w:t>Proposed API Resource</w:t>
            </w:r>
          </w:p>
        </w:tc>
        <w:tc>
          <w:tcPr>
            <w:tcW w:w="3118" w:type="dxa"/>
          </w:tcPr>
          <w:p w14:paraId="0E791B4F" w14:textId="77777777" w:rsidR="00574208" w:rsidRPr="00A97C37" w:rsidRDefault="00574208" w:rsidP="00A97C37">
            <w:pPr>
              <w:suppressLineNumbers/>
              <w:spacing w:before="0" w:after="0"/>
              <w:rPr>
                <w:b/>
              </w:rPr>
            </w:pPr>
            <w:r w:rsidRPr="00A97C37">
              <w:rPr>
                <w:b/>
              </w:rPr>
              <w:t xml:space="preserve">Related ISO </w:t>
            </w:r>
            <w:r w:rsidR="00A97C37" w:rsidRPr="00A97C37">
              <w:rPr>
                <w:b/>
              </w:rPr>
              <w:t>2</w:t>
            </w:r>
            <w:r w:rsidRPr="00A97C37">
              <w:rPr>
                <w:b/>
              </w:rPr>
              <w:t>0022 Message</w:t>
            </w:r>
          </w:p>
        </w:tc>
        <w:tc>
          <w:tcPr>
            <w:tcW w:w="3340" w:type="dxa"/>
          </w:tcPr>
          <w:p w14:paraId="57194E16" w14:textId="77777777" w:rsidR="00574208" w:rsidRPr="00A97C37" w:rsidRDefault="00574208" w:rsidP="00A97C37">
            <w:pPr>
              <w:suppressLineNumbers/>
              <w:spacing w:before="0" w:after="0"/>
              <w:rPr>
                <w:b/>
              </w:rPr>
            </w:pPr>
            <w:r w:rsidRPr="00A97C37">
              <w:rPr>
                <w:b/>
              </w:rPr>
              <w:t>Commentary</w:t>
            </w:r>
          </w:p>
        </w:tc>
      </w:tr>
      <w:tr w:rsidR="00574208" w14:paraId="4D811DA9" w14:textId="77777777" w:rsidTr="00A97C37">
        <w:tc>
          <w:tcPr>
            <w:tcW w:w="2660" w:type="dxa"/>
          </w:tcPr>
          <w:p w14:paraId="186F9264" w14:textId="77777777" w:rsidR="00574208" w:rsidRDefault="00574208" w:rsidP="008D2121">
            <w:pPr>
              <w:suppressLineNumbers/>
              <w:spacing w:before="0" w:after="0"/>
              <w:jc w:val="left"/>
            </w:pPr>
            <w:r w:rsidRPr="00931714">
              <w:rPr>
                <w:color w:val="000000"/>
                <w:szCs w:val="24"/>
              </w:rPr>
              <w:t>Read Securities Accounts List</w:t>
            </w:r>
          </w:p>
        </w:tc>
        <w:tc>
          <w:tcPr>
            <w:tcW w:w="3118" w:type="dxa"/>
          </w:tcPr>
          <w:p w14:paraId="0B4FC379" w14:textId="77777777" w:rsidR="00574208" w:rsidRDefault="00574208" w:rsidP="008D2121">
            <w:pPr>
              <w:suppressLineNumbers/>
              <w:spacing w:before="0" w:after="0"/>
              <w:jc w:val="left"/>
            </w:pPr>
            <w:r>
              <w:t>No direct equivalent</w:t>
            </w:r>
          </w:p>
        </w:tc>
        <w:tc>
          <w:tcPr>
            <w:tcW w:w="3340" w:type="dxa"/>
          </w:tcPr>
          <w:p w14:paraId="0E0AC054" w14:textId="77777777" w:rsidR="00574208" w:rsidRDefault="00574208" w:rsidP="008D2121">
            <w:pPr>
              <w:suppressLineNumbers/>
              <w:spacing w:before="0" w:after="0"/>
              <w:jc w:val="left"/>
            </w:pPr>
            <w:r>
              <w:t xml:space="preserve">Fills a functional gap by providing account discovery </w:t>
            </w:r>
            <w:r w:rsidR="00A97C37">
              <w:t>capabilities</w:t>
            </w:r>
            <w:r>
              <w:t>.</w:t>
            </w:r>
          </w:p>
        </w:tc>
      </w:tr>
      <w:tr w:rsidR="00574208" w14:paraId="6382B472" w14:textId="77777777" w:rsidTr="00A97C37">
        <w:tc>
          <w:tcPr>
            <w:tcW w:w="2660" w:type="dxa"/>
          </w:tcPr>
          <w:p w14:paraId="6D5BB4FF" w14:textId="77777777" w:rsidR="00574208" w:rsidRDefault="00574208" w:rsidP="008D2121">
            <w:pPr>
              <w:suppressLineNumbers/>
              <w:spacing w:before="0" w:after="0"/>
              <w:jc w:val="left"/>
            </w:pPr>
            <w:r w:rsidRPr="00931714">
              <w:rPr>
                <w:color w:val="000000"/>
                <w:szCs w:val="24"/>
              </w:rPr>
              <w:t>Read Securities Account Details</w:t>
            </w:r>
          </w:p>
        </w:tc>
        <w:tc>
          <w:tcPr>
            <w:tcW w:w="3118" w:type="dxa"/>
          </w:tcPr>
          <w:p w14:paraId="723B7FA3" w14:textId="77777777" w:rsidR="00574208" w:rsidRDefault="00C7635F" w:rsidP="008D2121">
            <w:pPr>
              <w:suppressLineNumbers/>
              <w:spacing w:before="0" w:after="0"/>
              <w:jc w:val="left"/>
            </w:pPr>
            <w:r>
              <w:t>No direct equivalent</w:t>
            </w:r>
          </w:p>
        </w:tc>
        <w:tc>
          <w:tcPr>
            <w:tcW w:w="3340" w:type="dxa"/>
          </w:tcPr>
          <w:p w14:paraId="6F9C8AB8" w14:textId="77777777" w:rsidR="00574208" w:rsidRDefault="00574208" w:rsidP="008D2121">
            <w:pPr>
              <w:suppressLineNumbers/>
              <w:spacing w:before="0" w:after="0"/>
              <w:jc w:val="left"/>
            </w:pPr>
            <w:r>
              <w:t>Offers tailored account-level metadata specific to securities accounts.</w:t>
            </w:r>
          </w:p>
        </w:tc>
      </w:tr>
      <w:tr w:rsidR="00574208" w14:paraId="0AA786C0" w14:textId="77777777" w:rsidTr="00A97C37">
        <w:tc>
          <w:tcPr>
            <w:tcW w:w="2660" w:type="dxa"/>
          </w:tcPr>
          <w:p w14:paraId="28516024" w14:textId="77777777" w:rsidR="00574208" w:rsidRDefault="00574208" w:rsidP="008D2121">
            <w:pPr>
              <w:suppressLineNumbers/>
              <w:spacing w:before="0" w:after="0"/>
              <w:jc w:val="left"/>
            </w:pPr>
            <w:r w:rsidRPr="00931714">
              <w:rPr>
                <w:color w:val="000000"/>
                <w:szCs w:val="24"/>
              </w:rPr>
              <w:t>Read Securities Account Positions</w:t>
            </w:r>
          </w:p>
        </w:tc>
        <w:tc>
          <w:tcPr>
            <w:tcW w:w="3118" w:type="dxa"/>
          </w:tcPr>
          <w:p w14:paraId="54E2200A" w14:textId="77777777" w:rsidR="00574208" w:rsidRDefault="00574208" w:rsidP="008D2121">
            <w:pPr>
              <w:suppressLineNumbers/>
              <w:spacing w:before="0" w:after="0"/>
              <w:jc w:val="left"/>
            </w:pPr>
            <w:r>
              <w:t>semt.002 – Securities Balance Accounting Report</w:t>
            </w:r>
          </w:p>
        </w:tc>
        <w:tc>
          <w:tcPr>
            <w:tcW w:w="3340" w:type="dxa"/>
          </w:tcPr>
          <w:p w14:paraId="01F40D1B" w14:textId="77777777" w:rsidR="00574208" w:rsidRDefault="00574208" w:rsidP="008D2121">
            <w:pPr>
              <w:suppressLineNumbers/>
              <w:spacing w:before="0" w:after="0"/>
              <w:jc w:val="left"/>
            </w:pPr>
            <w:r>
              <w:t>Enables real-time access to securities holdings data, typically provided through batch reporting.</w:t>
            </w:r>
          </w:p>
        </w:tc>
      </w:tr>
      <w:tr w:rsidR="00574208" w14:paraId="69FC5AC1" w14:textId="77777777" w:rsidTr="00A97C37">
        <w:tc>
          <w:tcPr>
            <w:tcW w:w="2660" w:type="dxa"/>
          </w:tcPr>
          <w:p w14:paraId="57E9213C" w14:textId="77777777" w:rsidR="00574208" w:rsidRDefault="00574208" w:rsidP="008D2121">
            <w:pPr>
              <w:suppressLineNumbers/>
              <w:spacing w:before="0" w:after="0"/>
              <w:jc w:val="left"/>
            </w:pPr>
            <w:r w:rsidRPr="00931714">
              <w:rPr>
                <w:color w:val="000000"/>
                <w:szCs w:val="24"/>
              </w:rPr>
              <w:t>Read Securities Account Transaction List</w:t>
            </w:r>
          </w:p>
        </w:tc>
        <w:tc>
          <w:tcPr>
            <w:tcW w:w="3118" w:type="dxa"/>
          </w:tcPr>
          <w:p w14:paraId="25ACCF15" w14:textId="77777777" w:rsidR="00574208" w:rsidRDefault="00574208" w:rsidP="008D2121">
            <w:pPr>
              <w:suppressLineNumbers/>
              <w:spacing w:before="0" w:after="0"/>
              <w:jc w:val="left"/>
            </w:pPr>
            <w:r>
              <w:t>semt.017 – Securities Transaction Posting Report</w:t>
            </w:r>
          </w:p>
        </w:tc>
        <w:tc>
          <w:tcPr>
            <w:tcW w:w="3340" w:type="dxa"/>
          </w:tcPr>
          <w:p w14:paraId="71913071" w14:textId="77777777" w:rsidR="00574208" w:rsidRDefault="00574208" w:rsidP="008D2121">
            <w:pPr>
              <w:suppressLineNumbers/>
              <w:spacing w:before="0" w:after="0"/>
              <w:jc w:val="left"/>
            </w:pPr>
            <w:r>
              <w:t xml:space="preserve">Provides on-demand access to historical transactions, which are </w:t>
            </w:r>
            <w:r w:rsidR="00C7635F">
              <w:t>today</w:t>
            </w:r>
            <w:r>
              <w:t xml:space="preserve"> communicated via reports.</w:t>
            </w:r>
          </w:p>
        </w:tc>
      </w:tr>
      <w:tr w:rsidR="00652D7D" w14:paraId="47EB0FD4" w14:textId="77777777" w:rsidTr="00A97C37">
        <w:tc>
          <w:tcPr>
            <w:tcW w:w="2660" w:type="dxa"/>
          </w:tcPr>
          <w:p w14:paraId="11329A1F" w14:textId="77777777" w:rsidR="00652D7D" w:rsidRPr="00931714" w:rsidRDefault="00652D7D" w:rsidP="008D2121">
            <w:pPr>
              <w:suppressLineNumbers/>
              <w:spacing w:before="0" w:after="0"/>
              <w:jc w:val="left"/>
              <w:rPr>
                <w:color w:val="000000"/>
                <w:szCs w:val="24"/>
              </w:rPr>
            </w:pPr>
            <w:r w:rsidRPr="00931714">
              <w:rPr>
                <w:color w:val="000000"/>
                <w:szCs w:val="24"/>
              </w:rPr>
              <w:t>Read Securities Transaction Details</w:t>
            </w:r>
          </w:p>
        </w:tc>
        <w:tc>
          <w:tcPr>
            <w:tcW w:w="3118" w:type="dxa"/>
          </w:tcPr>
          <w:p w14:paraId="5D4F6257" w14:textId="77777777" w:rsidR="00652D7D" w:rsidRDefault="00652D7D" w:rsidP="008D2121">
            <w:pPr>
              <w:suppressLineNumbers/>
              <w:spacing w:before="0" w:after="0"/>
              <w:jc w:val="left"/>
            </w:pPr>
            <w:r>
              <w:t>No direct equivalent</w:t>
            </w:r>
          </w:p>
        </w:tc>
        <w:tc>
          <w:tcPr>
            <w:tcW w:w="3340" w:type="dxa"/>
          </w:tcPr>
          <w:p w14:paraId="497C7D98" w14:textId="77777777" w:rsidR="00652D7D" w:rsidRDefault="00652D7D" w:rsidP="008D2121">
            <w:pPr>
              <w:suppressLineNumbers/>
              <w:spacing w:before="0" w:after="0"/>
              <w:jc w:val="left"/>
            </w:pPr>
            <w:r>
              <w:t>Introduces a transaction-level query</w:t>
            </w:r>
            <w:r w:rsidR="00C7635F">
              <w:t>.</w:t>
            </w:r>
          </w:p>
        </w:tc>
      </w:tr>
      <w:tr w:rsidR="00652D7D" w14:paraId="1804555C" w14:textId="77777777" w:rsidTr="00A97C37">
        <w:tc>
          <w:tcPr>
            <w:tcW w:w="2660" w:type="dxa"/>
          </w:tcPr>
          <w:p w14:paraId="1FCB092A" w14:textId="77777777" w:rsidR="00652D7D" w:rsidRDefault="00652D7D" w:rsidP="008D2121">
            <w:pPr>
              <w:suppressLineNumbers/>
              <w:spacing w:before="0" w:after="0"/>
              <w:jc w:val="left"/>
            </w:pPr>
            <w:r w:rsidRPr="00931714">
              <w:rPr>
                <w:color w:val="000000"/>
                <w:szCs w:val="24"/>
              </w:rPr>
              <w:t>Read Securities Order List</w:t>
            </w:r>
          </w:p>
        </w:tc>
        <w:tc>
          <w:tcPr>
            <w:tcW w:w="3118" w:type="dxa"/>
          </w:tcPr>
          <w:p w14:paraId="4B2B5F3B" w14:textId="77777777" w:rsidR="00652D7D" w:rsidRDefault="00652D7D" w:rsidP="008D2121">
            <w:pPr>
              <w:suppressLineNumbers/>
              <w:spacing w:before="0" w:after="0"/>
              <w:jc w:val="left"/>
            </w:pPr>
            <w:r>
              <w:t>No direct equivalent</w:t>
            </w:r>
          </w:p>
        </w:tc>
        <w:tc>
          <w:tcPr>
            <w:tcW w:w="3340" w:type="dxa"/>
          </w:tcPr>
          <w:p w14:paraId="59F14581" w14:textId="77777777" w:rsidR="00652D7D" w:rsidRDefault="00652D7D" w:rsidP="008D2121">
            <w:pPr>
              <w:suppressLineNumbers/>
              <w:spacing w:before="0" w:after="0"/>
              <w:jc w:val="left"/>
            </w:pPr>
            <w:r>
              <w:t>Adds support for listing active securities orders.</w:t>
            </w:r>
          </w:p>
        </w:tc>
      </w:tr>
      <w:tr w:rsidR="00652D7D" w14:paraId="1D869E09" w14:textId="77777777" w:rsidTr="00A97C37">
        <w:tc>
          <w:tcPr>
            <w:tcW w:w="2660" w:type="dxa"/>
          </w:tcPr>
          <w:p w14:paraId="794B68AF" w14:textId="77777777" w:rsidR="00652D7D" w:rsidRDefault="00652D7D" w:rsidP="008D2121">
            <w:pPr>
              <w:suppressLineNumbers/>
              <w:spacing w:before="0" w:after="0"/>
              <w:jc w:val="left"/>
            </w:pPr>
            <w:r w:rsidRPr="00931714">
              <w:rPr>
                <w:color w:val="000000"/>
                <w:szCs w:val="24"/>
              </w:rPr>
              <w:t>Read Securities Order Details</w:t>
            </w:r>
          </w:p>
        </w:tc>
        <w:tc>
          <w:tcPr>
            <w:tcW w:w="3118" w:type="dxa"/>
          </w:tcPr>
          <w:p w14:paraId="5CFBFF9A" w14:textId="77777777" w:rsidR="00652D7D" w:rsidRDefault="00652D7D" w:rsidP="008D2121">
            <w:pPr>
              <w:suppressLineNumbers/>
              <w:spacing w:before="0" w:after="0"/>
              <w:jc w:val="left"/>
            </w:pPr>
            <w:r>
              <w:t>No direct equivalent</w:t>
            </w:r>
          </w:p>
        </w:tc>
        <w:tc>
          <w:tcPr>
            <w:tcW w:w="3340" w:type="dxa"/>
          </w:tcPr>
          <w:p w14:paraId="4A89A4DD" w14:textId="77777777" w:rsidR="00652D7D" w:rsidRDefault="00652D7D" w:rsidP="008D2121">
            <w:pPr>
              <w:suppressLineNumbers/>
              <w:spacing w:before="0" w:after="0"/>
              <w:jc w:val="left"/>
            </w:pPr>
            <w:r>
              <w:t>Complements the Order List by allowing detailed look-up of individual securities orders.</w:t>
            </w:r>
          </w:p>
        </w:tc>
      </w:tr>
    </w:tbl>
    <w:p w14:paraId="50697A63" w14:textId="77777777" w:rsidR="00A97C37" w:rsidRPr="00931714" w:rsidRDefault="0044399E" w:rsidP="0034322D">
      <w:pPr>
        <w:suppressLineNumbers/>
        <w:rPr>
          <w:color w:val="FF0000"/>
        </w:rPr>
      </w:pPr>
      <w:r>
        <w:t>In summary, the proposed AIS for Securities Accounts API resource supports a broad spectrum of use cases, both within the securities domain and across adjacent business areas.</w:t>
      </w:r>
      <w:bookmarkStart w:id="0" w:name="_GoBack"/>
      <w:bookmarkEnd w:id="0"/>
    </w:p>
    <w:p w14:paraId="79890DDD" w14:textId="77777777" w:rsidR="005246BE" w:rsidRPr="00931714" w:rsidRDefault="005246BE" w:rsidP="003F666C">
      <w:pPr>
        <w:numPr>
          <w:ilvl w:val="0"/>
          <w:numId w:val="8"/>
        </w:numPr>
        <w:suppressLineNumbers/>
        <w:rPr>
          <w:b/>
          <w:szCs w:val="24"/>
        </w:rPr>
      </w:pPr>
      <w:r w:rsidRPr="00931714">
        <w:rPr>
          <w:b/>
          <w:szCs w:val="24"/>
        </w:rPr>
        <w:t xml:space="preserve">Purpose of the </w:t>
      </w:r>
      <w:r w:rsidR="008A7F65" w:rsidRPr="00931714">
        <w:rPr>
          <w:b/>
          <w:szCs w:val="24"/>
        </w:rPr>
        <w:t>new development</w:t>
      </w:r>
      <w:r w:rsidRPr="00931714">
        <w:rPr>
          <w:b/>
          <w:szCs w:val="24"/>
        </w:rPr>
        <w:t>:</w:t>
      </w:r>
    </w:p>
    <w:p w14:paraId="19E5D8B0" w14:textId="77777777" w:rsidR="00F02B6C" w:rsidRPr="00931714" w:rsidRDefault="0044399E" w:rsidP="005D2709">
      <w:pPr>
        <w:suppressLineNumbers/>
        <w:rPr>
          <w:color w:val="000000"/>
          <w:szCs w:val="24"/>
        </w:rPr>
      </w:pPr>
      <w:r>
        <w:lastRenderedPageBreak/>
        <w:t xml:space="preserve">The proposed </w:t>
      </w:r>
      <w:r w:rsidR="00C7635F">
        <w:t>inclusion</w:t>
      </w:r>
      <w:r>
        <w:t xml:space="preserve"> of an</w:t>
      </w:r>
      <w:r w:rsidR="003E2396">
        <w:t xml:space="preserve"> AIS</w:t>
      </w:r>
      <w:r>
        <w:t xml:space="preserve"> for Securities Accounts </w:t>
      </w:r>
      <w:r w:rsidR="00C7635F">
        <w:t xml:space="preserve">into the ISO 20022 standard </w:t>
      </w:r>
      <w:r w:rsidR="006825CC">
        <w:t xml:space="preserve">in analogy to AIS for payment, savings and loan accounts </w:t>
      </w:r>
      <w:r>
        <w:t xml:space="preserve">will significantly enhance the communication and availability of relevant information. </w:t>
      </w:r>
      <w:r w:rsidR="00C7635F">
        <w:t>In more detail</w:t>
      </w:r>
      <w:r>
        <w:t>, the proposal will enable:</w:t>
      </w:r>
    </w:p>
    <w:p w14:paraId="21B6A617" w14:textId="77777777" w:rsidR="00F02B6C" w:rsidRPr="00931714" w:rsidRDefault="0044399E" w:rsidP="00F02B6C">
      <w:pPr>
        <w:numPr>
          <w:ilvl w:val="0"/>
          <w:numId w:val="17"/>
        </w:numPr>
        <w:suppressLineNumbers/>
        <w:rPr>
          <w:color w:val="000000"/>
          <w:szCs w:val="24"/>
        </w:rPr>
      </w:pPr>
      <w:r>
        <w:t>Real-time access to securities account data and transaction histories</w:t>
      </w:r>
      <w:r w:rsidR="003E2396">
        <w:t>.</w:t>
      </w:r>
      <w:r w:rsidR="00F02B6C" w:rsidRPr="00931714">
        <w:rPr>
          <w:color w:val="000000"/>
          <w:szCs w:val="24"/>
        </w:rPr>
        <w:t xml:space="preserve"> </w:t>
      </w:r>
    </w:p>
    <w:p w14:paraId="770E8523" w14:textId="77777777" w:rsidR="00F02B6C" w:rsidRPr="00931714" w:rsidRDefault="0044399E" w:rsidP="00F02B6C">
      <w:pPr>
        <w:numPr>
          <w:ilvl w:val="0"/>
          <w:numId w:val="17"/>
        </w:numPr>
        <w:suppressLineNumbers/>
        <w:rPr>
          <w:color w:val="000000"/>
          <w:szCs w:val="24"/>
        </w:rPr>
      </w:pPr>
      <w:r>
        <w:t>Increased transparency in communication and information exchange.</w:t>
      </w:r>
    </w:p>
    <w:p w14:paraId="0316862E" w14:textId="77777777" w:rsidR="00F02B6C" w:rsidRPr="00931714" w:rsidRDefault="0044399E" w:rsidP="00F02B6C">
      <w:pPr>
        <w:numPr>
          <w:ilvl w:val="0"/>
          <w:numId w:val="17"/>
        </w:numPr>
        <w:suppressLineNumbers/>
        <w:rPr>
          <w:color w:val="000000"/>
          <w:szCs w:val="24"/>
        </w:rPr>
      </w:pPr>
      <w:r>
        <w:t>Seamless integration and interoperability across diverse financial systems.</w:t>
      </w:r>
    </w:p>
    <w:p w14:paraId="12264CEF" w14:textId="77777777" w:rsidR="00F02B6C" w:rsidRPr="00931714" w:rsidRDefault="0044399E" w:rsidP="00F02B6C">
      <w:pPr>
        <w:numPr>
          <w:ilvl w:val="0"/>
          <w:numId w:val="17"/>
        </w:numPr>
        <w:suppressLineNumbers/>
        <w:rPr>
          <w:color w:val="000000"/>
          <w:szCs w:val="24"/>
        </w:rPr>
      </w:pPr>
      <w:r>
        <w:t>Coherent and consistent data structures that can be adopted across financial institutions and market participants.</w:t>
      </w:r>
    </w:p>
    <w:p w14:paraId="62622578" w14:textId="77777777" w:rsidR="00F02B6C" w:rsidRPr="00931714" w:rsidRDefault="00035321" w:rsidP="00F02B6C">
      <w:pPr>
        <w:numPr>
          <w:ilvl w:val="0"/>
          <w:numId w:val="17"/>
        </w:numPr>
        <w:suppressLineNumbers/>
        <w:rPr>
          <w:color w:val="000000"/>
          <w:szCs w:val="24"/>
        </w:rPr>
      </w:pPr>
      <w:r>
        <w:t>Improved operational efficiency and a reduction in manual processing errors.</w:t>
      </w:r>
    </w:p>
    <w:p w14:paraId="6A4469B9" w14:textId="77777777" w:rsidR="00F02B6C" w:rsidRPr="00931714" w:rsidRDefault="00035321" w:rsidP="00F02B6C">
      <w:pPr>
        <w:numPr>
          <w:ilvl w:val="0"/>
          <w:numId w:val="17"/>
        </w:numPr>
        <w:suppressLineNumbers/>
        <w:rPr>
          <w:color w:val="000000"/>
          <w:szCs w:val="24"/>
        </w:rPr>
      </w:pPr>
      <w:r>
        <w:t>Cost savings through the elimination of labour-intensive manual processes.</w:t>
      </w:r>
    </w:p>
    <w:p w14:paraId="5D98C515" w14:textId="77777777" w:rsidR="00F02B6C" w:rsidRDefault="00035321" w:rsidP="00F02B6C">
      <w:pPr>
        <w:suppressLineNumbers/>
      </w:pPr>
      <w:r>
        <w:t>Overall, this proposal will deliver substantial benefits to the industry by enabling faster processing, improving client satisfaction through timely and accurate information, and supporting enhanced regulatory compliance through automated, accurate, and transparent documentation. Collectively, these improvements will result in significant reductions in operational costs.</w:t>
      </w:r>
    </w:p>
    <w:p w14:paraId="48CD9F87" w14:textId="77777777" w:rsidR="00EC4D4C" w:rsidRPr="00931714" w:rsidRDefault="00EC4D4C" w:rsidP="00F02B6C">
      <w:pPr>
        <w:suppressLineNumbers/>
        <w:rPr>
          <w:color w:val="000000"/>
          <w:szCs w:val="24"/>
        </w:rPr>
      </w:pPr>
      <w:r>
        <w:rPr>
          <w:color w:val="000000"/>
          <w:szCs w:val="24"/>
        </w:rPr>
        <w:t xml:space="preserve">Due to the similarity with and analogy to existing AIS APIs for other account types, it will seamless integrate into the growing open finance eco system. It is further needed to cover items as introduced by the upcoming </w:t>
      </w:r>
      <w:proofErr w:type="spellStart"/>
      <w:r>
        <w:rPr>
          <w:color w:val="000000"/>
          <w:szCs w:val="24"/>
        </w:rPr>
        <w:t>FiDA</w:t>
      </w:r>
      <w:proofErr w:type="spellEnd"/>
      <w:r>
        <w:rPr>
          <w:color w:val="000000"/>
          <w:szCs w:val="24"/>
        </w:rPr>
        <w:t xml:space="preserve"> regulation of the European Commission as a further step from European PSD2 mandate of payment account API towards a harmonised set of APIs for all account types.</w:t>
      </w:r>
    </w:p>
    <w:p w14:paraId="136DE346" w14:textId="77777777" w:rsidR="00D67DE0" w:rsidRPr="00931714" w:rsidRDefault="00D67DE0" w:rsidP="003F666C">
      <w:pPr>
        <w:numPr>
          <w:ilvl w:val="0"/>
          <w:numId w:val="8"/>
        </w:numPr>
        <w:suppressLineNumbers/>
        <w:rPr>
          <w:b/>
          <w:szCs w:val="24"/>
        </w:rPr>
      </w:pPr>
      <w:r w:rsidRPr="00931714">
        <w:rPr>
          <w:b/>
          <w:szCs w:val="24"/>
        </w:rPr>
        <w:t>Community of users</w:t>
      </w:r>
      <w:r w:rsidR="00AB5AF6" w:rsidRPr="00931714">
        <w:rPr>
          <w:b/>
          <w:szCs w:val="24"/>
        </w:rPr>
        <w:t xml:space="preserve"> and benefits</w:t>
      </w:r>
      <w:r w:rsidRPr="00931714">
        <w:rPr>
          <w:b/>
          <w:szCs w:val="24"/>
        </w:rPr>
        <w:t>:</w:t>
      </w:r>
    </w:p>
    <w:p w14:paraId="79B4B71D" w14:textId="77777777" w:rsidR="00F02B6C" w:rsidRPr="00931714" w:rsidRDefault="00267897" w:rsidP="005778EB">
      <w:pPr>
        <w:numPr>
          <w:ilvl w:val="0"/>
          <w:numId w:val="10"/>
        </w:numPr>
        <w:suppressLineNumbers/>
        <w:rPr>
          <w:szCs w:val="24"/>
        </w:rPr>
      </w:pPr>
      <w:r w:rsidRPr="00931714">
        <w:rPr>
          <w:b/>
          <w:szCs w:val="24"/>
        </w:rPr>
        <w:t>Benefits/savings:</w:t>
      </w:r>
      <w:r w:rsidRPr="00931714">
        <w:rPr>
          <w:szCs w:val="24"/>
        </w:rPr>
        <w:t xml:space="preserve"> </w:t>
      </w:r>
      <w:r w:rsidR="00035321">
        <w:t>The primary categories of users who stand to benefit from the proposed ISO 20022 AIS for Securities Accounts API include custodian banks, asset managers, investment firms, and fintech companies. These benefits can be grouped into six key categories, each</w:t>
      </w:r>
      <w:r w:rsidR="0061710B">
        <w:t xml:space="preserve"> of which is described in more detail </w:t>
      </w:r>
      <w:r w:rsidR="00035321">
        <w:t>below:</w:t>
      </w:r>
    </w:p>
    <w:p w14:paraId="24E1C6B4" w14:textId="77777777" w:rsidR="00F02B6C" w:rsidRPr="00931714" w:rsidRDefault="00F02B6C" w:rsidP="008E6427">
      <w:pPr>
        <w:numPr>
          <w:ilvl w:val="1"/>
          <w:numId w:val="10"/>
        </w:numPr>
        <w:suppressLineNumbers/>
        <w:rPr>
          <w:szCs w:val="24"/>
        </w:rPr>
      </w:pPr>
      <w:r w:rsidRPr="00931714">
        <w:rPr>
          <w:b/>
          <w:szCs w:val="24"/>
        </w:rPr>
        <w:t xml:space="preserve">Automation and Data Integration </w:t>
      </w:r>
    </w:p>
    <w:p w14:paraId="0490A1EA" w14:textId="77777777" w:rsidR="00035321" w:rsidRPr="00035321" w:rsidRDefault="00035321" w:rsidP="00F02B6C">
      <w:pPr>
        <w:numPr>
          <w:ilvl w:val="2"/>
          <w:numId w:val="10"/>
        </w:numPr>
        <w:suppressLineNumbers/>
        <w:rPr>
          <w:szCs w:val="24"/>
        </w:rPr>
      </w:pPr>
      <w:r>
        <w:t>Automated collection and consolidation of account information, leading to a reduction in manual effort and human error.</w:t>
      </w:r>
    </w:p>
    <w:p w14:paraId="3BA03C2A" w14:textId="77777777" w:rsidR="00F02B6C" w:rsidRPr="00931714" w:rsidRDefault="00035321" w:rsidP="00F02B6C">
      <w:pPr>
        <w:numPr>
          <w:ilvl w:val="2"/>
          <w:numId w:val="10"/>
        </w:numPr>
        <w:suppressLineNumbers/>
        <w:rPr>
          <w:szCs w:val="24"/>
        </w:rPr>
      </w:pPr>
      <w:r>
        <w:t>Seamless integration with existing financial systems, reducing integration costs and eliminating the need to manage diverse securities data formats.</w:t>
      </w:r>
    </w:p>
    <w:p w14:paraId="0D30ECE7" w14:textId="77777777" w:rsidR="00F02B6C" w:rsidRPr="00931714" w:rsidRDefault="00F02B6C" w:rsidP="00F02B6C">
      <w:pPr>
        <w:numPr>
          <w:ilvl w:val="1"/>
          <w:numId w:val="10"/>
        </w:numPr>
        <w:suppressLineNumbers/>
        <w:rPr>
          <w:b/>
          <w:szCs w:val="24"/>
        </w:rPr>
      </w:pPr>
      <w:r w:rsidRPr="00931714">
        <w:rPr>
          <w:b/>
          <w:szCs w:val="24"/>
        </w:rPr>
        <w:t>Cost Savings</w:t>
      </w:r>
    </w:p>
    <w:p w14:paraId="28FD24FF" w14:textId="77777777" w:rsidR="00035321" w:rsidRPr="00035321" w:rsidRDefault="00035321" w:rsidP="00F02B6C">
      <w:pPr>
        <w:numPr>
          <w:ilvl w:val="0"/>
          <w:numId w:val="18"/>
        </w:numPr>
        <w:suppressLineNumbers/>
        <w:rPr>
          <w:b/>
          <w:szCs w:val="24"/>
        </w:rPr>
      </w:pPr>
      <w:r>
        <w:t>Reduced operational costs through process automation.</w:t>
      </w:r>
    </w:p>
    <w:p w14:paraId="128124A1" w14:textId="77777777" w:rsidR="00F02B6C" w:rsidRPr="00931714" w:rsidRDefault="00035321" w:rsidP="00F02B6C">
      <w:pPr>
        <w:numPr>
          <w:ilvl w:val="0"/>
          <w:numId w:val="18"/>
        </w:numPr>
        <w:suppressLineNumbers/>
        <w:rPr>
          <w:b/>
          <w:szCs w:val="24"/>
        </w:rPr>
      </w:pPr>
      <w:r>
        <w:t>Simplified compliance with regulatory requirements, potentially reducing audit-related expenses, fines, or penalties.</w:t>
      </w:r>
    </w:p>
    <w:p w14:paraId="7F66EDBB" w14:textId="77777777" w:rsidR="00F02B6C" w:rsidRPr="00931714" w:rsidRDefault="00F02B6C" w:rsidP="00F02B6C">
      <w:pPr>
        <w:numPr>
          <w:ilvl w:val="1"/>
          <w:numId w:val="10"/>
        </w:numPr>
        <w:suppressLineNumbers/>
        <w:rPr>
          <w:b/>
          <w:szCs w:val="24"/>
        </w:rPr>
      </w:pPr>
      <w:r w:rsidRPr="00931714">
        <w:rPr>
          <w:b/>
          <w:szCs w:val="24"/>
        </w:rPr>
        <w:t>Improved Transparency and Reporting</w:t>
      </w:r>
    </w:p>
    <w:p w14:paraId="2ABB1672" w14:textId="77777777" w:rsidR="00F02B6C" w:rsidRPr="00931714" w:rsidRDefault="00035321" w:rsidP="00F02B6C">
      <w:pPr>
        <w:numPr>
          <w:ilvl w:val="0"/>
          <w:numId w:val="19"/>
        </w:numPr>
        <w:suppressLineNumbers/>
        <w:rPr>
          <w:b/>
          <w:szCs w:val="24"/>
        </w:rPr>
      </w:pPr>
      <w:r>
        <w:t xml:space="preserve">Enhanced investment insights enabled by real-time </w:t>
      </w:r>
      <w:r w:rsidR="0061710B">
        <w:t xml:space="preserve">access to </w:t>
      </w:r>
      <w:r>
        <w:t>informatio</w:t>
      </w:r>
      <w:r w:rsidR="0061710B">
        <w:t>n</w:t>
      </w:r>
      <w:r>
        <w:t>.</w:t>
      </w:r>
    </w:p>
    <w:p w14:paraId="6658E276" w14:textId="77777777" w:rsidR="00F02B6C" w:rsidRPr="00931714" w:rsidRDefault="00035321" w:rsidP="00F02B6C">
      <w:pPr>
        <w:numPr>
          <w:ilvl w:val="0"/>
          <w:numId w:val="19"/>
        </w:numPr>
        <w:suppressLineNumbers/>
        <w:rPr>
          <w:b/>
          <w:szCs w:val="24"/>
        </w:rPr>
      </w:pPr>
      <w:r>
        <w:lastRenderedPageBreak/>
        <w:t>Improved portfolio management through immediate visibility into transaction histories and account balances.</w:t>
      </w:r>
    </w:p>
    <w:p w14:paraId="7AF4BAE8" w14:textId="77777777" w:rsidR="00F02B6C" w:rsidRPr="00931714" w:rsidRDefault="00035321" w:rsidP="00F02B6C">
      <w:pPr>
        <w:numPr>
          <w:ilvl w:val="0"/>
          <w:numId w:val="19"/>
        </w:numPr>
        <w:suppressLineNumbers/>
        <w:rPr>
          <w:b/>
          <w:szCs w:val="24"/>
        </w:rPr>
      </w:pPr>
      <w:r>
        <w:t>Easily auditable data facilitated by the use of standardised securities formats.</w:t>
      </w:r>
    </w:p>
    <w:p w14:paraId="19B341A8" w14:textId="77777777" w:rsidR="00F02B6C" w:rsidRPr="00931714" w:rsidRDefault="00F02B6C" w:rsidP="00F02B6C">
      <w:pPr>
        <w:numPr>
          <w:ilvl w:val="1"/>
          <w:numId w:val="10"/>
        </w:numPr>
        <w:suppressLineNumbers/>
        <w:rPr>
          <w:b/>
          <w:szCs w:val="24"/>
        </w:rPr>
      </w:pPr>
      <w:r w:rsidRPr="00931714">
        <w:rPr>
          <w:b/>
          <w:szCs w:val="24"/>
        </w:rPr>
        <w:t>Improved Efficiency and Time Savings</w:t>
      </w:r>
    </w:p>
    <w:p w14:paraId="0CEA88C0" w14:textId="77777777" w:rsidR="00F02B6C" w:rsidRPr="00931714" w:rsidRDefault="00035321" w:rsidP="00F02B6C">
      <w:pPr>
        <w:numPr>
          <w:ilvl w:val="0"/>
          <w:numId w:val="20"/>
        </w:numPr>
        <w:suppressLineNumbers/>
        <w:rPr>
          <w:szCs w:val="24"/>
        </w:rPr>
      </w:pPr>
      <w:r>
        <w:t>Faster decision-making enabled by real-time information.</w:t>
      </w:r>
    </w:p>
    <w:p w14:paraId="1C8CE281" w14:textId="77777777" w:rsidR="00F02B6C" w:rsidRPr="00931714" w:rsidRDefault="00035321" w:rsidP="00F02B6C">
      <w:pPr>
        <w:numPr>
          <w:ilvl w:val="0"/>
          <w:numId w:val="20"/>
        </w:numPr>
        <w:suppressLineNumbers/>
        <w:rPr>
          <w:b/>
          <w:szCs w:val="24"/>
        </w:rPr>
      </w:pPr>
      <w:r>
        <w:t>Immediate notifications for significant account status changes or threshold breaches.</w:t>
      </w:r>
    </w:p>
    <w:p w14:paraId="63DA1D8B" w14:textId="77777777" w:rsidR="00F02B6C" w:rsidRPr="00931714" w:rsidRDefault="00035321" w:rsidP="00F02B6C">
      <w:pPr>
        <w:numPr>
          <w:ilvl w:val="0"/>
          <w:numId w:val="20"/>
        </w:numPr>
        <w:suppressLineNumbers/>
        <w:rPr>
          <w:b/>
          <w:szCs w:val="24"/>
        </w:rPr>
      </w:pPr>
      <w:r>
        <w:t>A unified interface to access and analyse data from multiple accounts simultaneously.</w:t>
      </w:r>
    </w:p>
    <w:p w14:paraId="41AC3D8E" w14:textId="77777777" w:rsidR="00F02B6C" w:rsidRPr="00931714" w:rsidRDefault="00F02B6C" w:rsidP="00F02B6C">
      <w:pPr>
        <w:numPr>
          <w:ilvl w:val="1"/>
          <w:numId w:val="10"/>
        </w:numPr>
        <w:suppressLineNumbers/>
        <w:rPr>
          <w:b/>
          <w:szCs w:val="24"/>
        </w:rPr>
      </w:pPr>
      <w:r w:rsidRPr="00931714">
        <w:rPr>
          <w:b/>
          <w:szCs w:val="24"/>
        </w:rPr>
        <w:t>Scalability and Flexibility</w:t>
      </w:r>
    </w:p>
    <w:p w14:paraId="07C2452F" w14:textId="77777777" w:rsidR="00F02B6C" w:rsidRPr="00931714" w:rsidRDefault="00035321" w:rsidP="00F02B6C">
      <w:pPr>
        <w:numPr>
          <w:ilvl w:val="0"/>
          <w:numId w:val="21"/>
        </w:numPr>
        <w:suppressLineNumbers/>
        <w:rPr>
          <w:b/>
          <w:szCs w:val="24"/>
        </w:rPr>
      </w:pPr>
      <w:r>
        <w:t>The capability to scale</w:t>
      </w:r>
      <w:r w:rsidR="00482962">
        <w:t xml:space="preserve"> up</w:t>
      </w:r>
      <w:r>
        <w:t xml:space="preserve"> data volumes significantly without </w:t>
      </w:r>
      <w:r w:rsidR="00482962">
        <w:t xml:space="preserve">the need for </w:t>
      </w:r>
      <w:r>
        <w:t>major infrastructure changes.</w:t>
      </w:r>
    </w:p>
    <w:p w14:paraId="42E4D253" w14:textId="77777777" w:rsidR="00F02B6C" w:rsidRPr="00931714" w:rsidRDefault="00035321" w:rsidP="00F02B6C">
      <w:pPr>
        <w:numPr>
          <w:ilvl w:val="0"/>
          <w:numId w:val="21"/>
        </w:numPr>
        <w:suppressLineNumbers/>
        <w:rPr>
          <w:b/>
          <w:szCs w:val="24"/>
        </w:rPr>
      </w:pPr>
      <w:r>
        <w:t>Flexibility to adapt the API to support new and evolving securities</w:t>
      </w:r>
      <w:r w:rsidR="00482962">
        <w:t xml:space="preserve"> formats</w:t>
      </w:r>
      <w:r>
        <w:t>, account types, and transaction formats.</w:t>
      </w:r>
    </w:p>
    <w:p w14:paraId="5F65811C" w14:textId="77777777" w:rsidR="00F02B6C" w:rsidRPr="00931714" w:rsidRDefault="00F02B6C" w:rsidP="00F02B6C">
      <w:pPr>
        <w:numPr>
          <w:ilvl w:val="1"/>
          <w:numId w:val="10"/>
        </w:numPr>
        <w:suppressLineNumbers/>
        <w:rPr>
          <w:b/>
          <w:szCs w:val="24"/>
        </w:rPr>
      </w:pPr>
      <w:r w:rsidRPr="00931714">
        <w:rPr>
          <w:b/>
          <w:szCs w:val="24"/>
        </w:rPr>
        <w:t>Regulatory Compliance and Risk Mitigation</w:t>
      </w:r>
    </w:p>
    <w:p w14:paraId="5416E989" w14:textId="77777777" w:rsidR="00F02B6C" w:rsidRPr="00931714" w:rsidRDefault="00F02B6C" w:rsidP="00F02B6C">
      <w:pPr>
        <w:numPr>
          <w:ilvl w:val="0"/>
          <w:numId w:val="22"/>
        </w:numPr>
        <w:suppressLineNumbers/>
        <w:rPr>
          <w:b/>
          <w:szCs w:val="24"/>
        </w:rPr>
      </w:pPr>
      <w:r w:rsidRPr="00931714">
        <w:rPr>
          <w:szCs w:val="24"/>
        </w:rPr>
        <w:t>Consistency with Global Standards due to standardized formats</w:t>
      </w:r>
    </w:p>
    <w:p w14:paraId="0E0A08DC" w14:textId="77777777" w:rsidR="00F02B6C" w:rsidRPr="00931714" w:rsidRDefault="00035321" w:rsidP="00F02B6C">
      <w:pPr>
        <w:numPr>
          <w:ilvl w:val="0"/>
          <w:numId w:val="22"/>
        </w:numPr>
        <w:suppressLineNumbers/>
        <w:rPr>
          <w:b/>
          <w:szCs w:val="24"/>
        </w:rPr>
      </w:pPr>
      <w:r>
        <w:t>Reduced risk and potential fraud through automated and standardised processes.</w:t>
      </w:r>
    </w:p>
    <w:p w14:paraId="32029C77" w14:textId="77777777" w:rsidR="00A90CB1" w:rsidRPr="00931714" w:rsidRDefault="00267897" w:rsidP="00A90CB1">
      <w:pPr>
        <w:numPr>
          <w:ilvl w:val="0"/>
          <w:numId w:val="10"/>
        </w:numPr>
        <w:suppressLineNumbers/>
        <w:rPr>
          <w:szCs w:val="24"/>
        </w:rPr>
      </w:pPr>
      <w:r w:rsidRPr="00931714">
        <w:rPr>
          <w:b/>
          <w:szCs w:val="24"/>
        </w:rPr>
        <w:t>Adoption scenario:</w:t>
      </w:r>
      <w:r w:rsidR="00A90CB1" w:rsidRPr="00931714">
        <w:rPr>
          <w:b/>
          <w:szCs w:val="24"/>
        </w:rPr>
        <w:t xml:space="preserve"> </w:t>
      </w:r>
      <w:r w:rsidR="00035321">
        <w:t xml:space="preserve">Initial adoption is expected among </w:t>
      </w:r>
      <w:r w:rsidR="00162CC7">
        <w:t xml:space="preserve">banks in the European area to fulfil the mandate of the upcoming </w:t>
      </w:r>
      <w:proofErr w:type="spellStart"/>
      <w:r w:rsidR="00162CC7">
        <w:t>FiDA</w:t>
      </w:r>
      <w:proofErr w:type="spellEnd"/>
      <w:r w:rsidR="00162CC7">
        <w:t xml:space="preserve"> regulations</w:t>
      </w:r>
      <w:r w:rsidR="00035321">
        <w:t xml:space="preserve">. Institutions </w:t>
      </w:r>
      <w:r w:rsidR="006825CC">
        <w:t xml:space="preserve">in the European area </w:t>
      </w:r>
      <w:r w:rsidR="00035321">
        <w:t xml:space="preserve">currently </w:t>
      </w:r>
      <w:r w:rsidR="006825CC">
        <w:t xml:space="preserve">not offering APIs or </w:t>
      </w:r>
      <w:r w:rsidR="00035321">
        <w:t xml:space="preserve">relying on proprietary or bilateral APIs would be encouraged to </w:t>
      </w:r>
      <w:r w:rsidR="006825CC">
        <w:t>introduce/</w:t>
      </w:r>
      <w:r w:rsidR="00035321">
        <w:t xml:space="preserve">migrate to the new standard </w:t>
      </w:r>
      <w:r w:rsidR="00162CC7">
        <w:t xml:space="preserve">within </w:t>
      </w:r>
      <w:r w:rsidR="00162CC7" w:rsidRPr="002C426A">
        <w:t xml:space="preserve">a </w:t>
      </w:r>
      <w:proofErr w:type="gramStart"/>
      <w:r w:rsidR="00035321" w:rsidRPr="002C426A">
        <w:t>24 month</w:t>
      </w:r>
      <w:proofErr w:type="gramEnd"/>
      <w:r w:rsidR="00035321" w:rsidRPr="002C426A">
        <w:t xml:space="preserve"> period </w:t>
      </w:r>
      <w:r w:rsidR="00035321">
        <w:t>following its publication.</w:t>
      </w:r>
    </w:p>
    <w:p w14:paraId="29395214" w14:textId="77777777" w:rsidR="00F02B6C" w:rsidRPr="00931714" w:rsidRDefault="00267897" w:rsidP="00BB4F86">
      <w:pPr>
        <w:numPr>
          <w:ilvl w:val="0"/>
          <w:numId w:val="10"/>
        </w:numPr>
        <w:suppressLineNumbers/>
        <w:rPr>
          <w:szCs w:val="24"/>
        </w:rPr>
      </w:pPr>
      <w:r w:rsidRPr="00931714">
        <w:rPr>
          <w:b/>
          <w:szCs w:val="24"/>
        </w:rPr>
        <w:t>Volumes:</w:t>
      </w:r>
      <w:r w:rsidRPr="00931714">
        <w:rPr>
          <w:szCs w:val="24"/>
        </w:rPr>
        <w:t xml:space="preserve"> </w:t>
      </w:r>
      <w:r w:rsidR="00A90CB1" w:rsidRPr="00931714">
        <w:rPr>
          <w:szCs w:val="24"/>
        </w:rPr>
        <w:t xml:space="preserve"> The potential user base includes:</w:t>
      </w:r>
    </w:p>
    <w:p w14:paraId="170EA2BC" w14:textId="77777777" w:rsidR="00A90CB1" w:rsidRPr="00931714" w:rsidRDefault="00A90CB1" w:rsidP="00A90CB1">
      <w:pPr>
        <w:numPr>
          <w:ilvl w:val="0"/>
          <w:numId w:val="35"/>
        </w:numPr>
        <w:suppressLineNumbers/>
        <w:rPr>
          <w:szCs w:val="24"/>
        </w:rPr>
      </w:pPr>
      <w:r w:rsidRPr="00931714">
        <w:rPr>
          <w:szCs w:val="24"/>
        </w:rPr>
        <w:t>investment firms and wealth managers</w:t>
      </w:r>
    </w:p>
    <w:p w14:paraId="2785B521" w14:textId="77777777" w:rsidR="00A90CB1" w:rsidRPr="00931714" w:rsidRDefault="00A90CB1" w:rsidP="00A90CB1">
      <w:pPr>
        <w:numPr>
          <w:ilvl w:val="0"/>
          <w:numId w:val="35"/>
        </w:numPr>
        <w:suppressLineNumbers/>
        <w:rPr>
          <w:szCs w:val="24"/>
        </w:rPr>
      </w:pPr>
      <w:r w:rsidRPr="00931714">
        <w:rPr>
          <w:szCs w:val="24"/>
        </w:rPr>
        <w:t>Fintechs operating in the securities domain</w:t>
      </w:r>
    </w:p>
    <w:p w14:paraId="4F827A9E" w14:textId="77777777" w:rsidR="00A90CB1" w:rsidRPr="00931714" w:rsidRDefault="00822531" w:rsidP="00A90CB1">
      <w:pPr>
        <w:suppressLineNumbers/>
        <w:ind w:left="720"/>
        <w:rPr>
          <w:szCs w:val="24"/>
        </w:rPr>
      </w:pPr>
      <w:r>
        <w:t xml:space="preserve">A critical mass is expected to be achieved once approximately </w:t>
      </w:r>
      <w:r w:rsidRPr="006825CC">
        <w:t xml:space="preserve">30 to 50 institutions </w:t>
      </w:r>
      <w:r>
        <w:t xml:space="preserve">have implemented the API, a milestone projected to occur </w:t>
      </w:r>
      <w:r w:rsidRPr="006825CC">
        <w:t xml:space="preserve">within </w:t>
      </w:r>
      <w:r w:rsidR="00206EA4" w:rsidRPr="006825CC">
        <w:t>3</w:t>
      </w:r>
      <w:r w:rsidRPr="006825CC">
        <w:t xml:space="preserve"> years </w:t>
      </w:r>
      <w:r>
        <w:t>of the standard’s release</w:t>
      </w:r>
      <w:r w:rsidR="006825CC">
        <w:t xml:space="preserve"> – also depending on the European regulatory progress.</w:t>
      </w:r>
      <w:r w:rsidR="00DE21A9">
        <w:t xml:space="preserve"> </w:t>
      </w:r>
      <w:r>
        <w:t>Broader adoption is anticipated to follow, fuelled by network effects and regulatory momentum.</w:t>
      </w:r>
    </w:p>
    <w:p w14:paraId="5BA6F21D" w14:textId="77777777" w:rsidR="00FF4CAE" w:rsidRPr="00931714" w:rsidRDefault="00267897" w:rsidP="00FF4CAE">
      <w:pPr>
        <w:numPr>
          <w:ilvl w:val="0"/>
          <w:numId w:val="10"/>
        </w:numPr>
        <w:spacing w:before="100" w:beforeAutospacing="1" w:after="100" w:afterAutospacing="1"/>
        <w:rPr>
          <w:rFonts w:eastAsia="Times New Roman"/>
          <w:szCs w:val="24"/>
          <w:lang w:eastAsia="de-DE"/>
        </w:rPr>
      </w:pPr>
      <w:r w:rsidRPr="00931714">
        <w:rPr>
          <w:b/>
          <w:szCs w:val="24"/>
        </w:rPr>
        <w:t xml:space="preserve">Sponsors and adopters: </w:t>
      </w:r>
      <w:r w:rsidR="00822531">
        <w:t xml:space="preserve">The proposed ISO 20022 API resources are strongly supported by the Berlin Group, a leading European standardisation initiative. This work is conducted under the Berlin Group’s </w:t>
      </w:r>
      <w:r w:rsidR="00822531" w:rsidRPr="00822531">
        <w:rPr>
          <w:rStyle w:val="Fett"/>
          <w:b w:val="0"/>
        </w:rPr>
        <w:t>openFinance</w:t>
      </w:r>
      <w:r w:rsidR="00822531">
        <w:t xml:space="preserve"> framework, in collaboration with a broad spectrum of stakeholders, including:</w:t>
      </w:r>
    </w:p>
    <w:p w14:paraId="2EA31FE6" w14:textId="77777777" w:rsidR="00FF4CAE" w:rsidRPr="004B361F" w:rsidRDefault="00FF4CAE" w:rsidP="004B361F">
      <w:pPr>
        <w:numPr>
          <w:ilvl w:val="1"/>
          <w:numId w:val="39"/>
        </w:numPr>
        <w:spacing w:before="100" w:beforeAutospacing="1" w:after="100" w:afterAutospacing="1"/>
        <w:rPr>
          <w:rFonts w:eastAsia="Times New Roman"/>
          <w:szCs w:val="24"/>
          <w:lang w:eastAsia="de-DE"/>
        </w:rPr>
      </w:pPr>
      <w:r w:rsidRPr="004B361F">
        <w:rPr>
          <w:rFonts w:eastAsia="Times New Roman"/>
          <w:bCs/>
          <w:szCs w:val="24"/>
          <w:lang w:eastAsia="de-DE"/>
        </w:rPr>
        <w:t>BITS</w:t>
      </w:r>
      <w:r w:rsidRPr="004B361F">
        <w:rPr>
          <w:rFonts w:eastAsia="Times New Roman"/>
          <w:szCs w:val="24"/>
          <w:lang w:eastAsia="de-DE"/>
        </w:rPr>
        <w:t xml:space="preserve">, </w:t>
      </w:r>
      <w:r w:rsidR="004B361F" w:rsidRPr="004B361F">
        <w:rPr>
          <w:rFonts w:eastAsia="Times New Roman"/>
          <w:szCs w:val="24"/>
          <w:lang w:eastAsia="de-DE"/>
        </w:rPr>
        <w:t xml:space="preserve">CBI, </w:t>
      </w:r>
      <w:r w:rsidRPr="004B361F">
        <w:rPr>
          <w:rFonts w:eastAsia="Times New Roman"/>
          <w:bCs/>
          <w:szCs w:val="24"/>
          <w:lang w:eastAsia="de-DE"/>
        </w:rPr>
        <w:t>Dutch Payments Association</w:t>
      </w:r>
      <w:r w:rsidRPr="004B361F">
        <w:rPr>
          <w:rFonts w:eastAsia="Times New Roman"/>
          <w:szCs w:val="24"/>
          <w:lang w:eastAsia="de-DE"/>
        </w:rPr>
        <w:t xml:space="preserve">, </w:t>
      </w:r>
      <w:r w:rsidRPr="004B361F">
        <w:rPr>
          <w:rFonts w:eastAsia="Times New Roman"/>
          <w:bCs/>
          <w:szCs w:val="24"/>
          <w:lang w:eastAsia="de-DE"/>
        </w:rPr>
        <w:t>Worldline</w:t>
      </w:r>
      <w:proofErr w:type="gramStart"/>
      <w:r w:rsidRPr="004B361F">
        <w:rPr>
          <w:rFonts w:eastAsia="Times New Roman"/>
          <w:szCs w:val="24"/>
          <w:lang w:eastAsia="de-DE"/>
        </w:rPr>
        <w:t>,</w:t>
      </w:r>
      <w:r w:rsidR="004B361F" w:rsidRPr="004B361F">
        <w:rPr>
          <w:rFonts w:eastAsia="Times New Roman"/>
          <w:szCs w:val="24"/>
          <w:lang w:eastAsia="de-DE"/>
        </w:rPr>
        <w:t xml:space="preserve"> </w:t>
      </w:r>
      <w:r w:rsidRPr="004B361F">
        <w:rPr>
          <w:rFonts w:eastAsia="Times New Roman"/>
          <w:szCs w:val="24"/>
          <w:lang w:eastAsia="de-DE"/>
        </w:rPr>
        <w:t>,</w:t>
      </w:r>
      <w:proofErr w:type="gramEnd"/>
      <w:r w:rsidRPr="004B361F">
        <w:rPr>
          <w:rFonts w:eastAsia="Times New Roman"/>
          <w:szCs w:val="24"/>
          <w:lang w:eastAsia="de-DE"/>
        </w:rPr>
        <w:t xml:space="preserve"> </w:t>
      </w:r>
      <w:r w:rsidRPr="004B361F">
        <w:rPr>
          <w:rFonts w:eastAsia="Times New Roman"/>
          <w:bCs/>
          <w:szCs w:val="24"/>
          <w:lang w:eastAsia="de-DE"/>
        </w:rPr>
        <w:t>German Banking Industry Committee</w:t>
      </w:r>
      <w:r w:rsidRPr="004B361F">
        <w:rPr>
          <w:rFonts w:eastAsia="Times New Roman"/>
          <w:szCs w:val="24"/>
          <w:lang w:eastAsia="de-DE"/>
        </w:rPr>
        <w:t>,</w:t>
      </w:r>
    </w:p>
    <w:p w14:paraId="430B7A78" w14:textId="77777777" w:rsidR="00FF4CAE" w:rsidRPr="00FF4CAE" w:rsidRDefault="00FF4CAE" w:rsidP="00FF4CAE">
      <w:pPr>
        <w:numPr>
          <w:ilvl w:val="1"/>
          <w:numId w:val="39"/>
        </w:numPr>
        <w:spacing w:before="100" w:beforeAutospacing="1" w:after="100" w:afterAutospacing="1"/>
        <w:rPr>
          <w:rFonts w:eastAsia="Times New Roman"/>
          <w:szCs w:val="24"/>
          <w:lang w:eastAsia="de-DE"/>
        </w:rPr>
      </w:pPr>
      <w:r w:rsidRPr="00931714">
        <w:rPr>
          <w:rFonts w:eastAsia="Times New Roman"/>
          <w:bCs/>
          <w:szCs w:val="24"/>
          <w:lang w:eastAsia="de-DE"/>
        </w:rPr>
        <w:t>PAN Nordic Card Association</w:t>
      </w:r>
      <w:r w:rsidRPr="00FF4CAE">
        <w:rPr>
          <w:rFonts w:eastAsia="Times New Roman"/>
          <w:szCs w:val="24"/>
          <w:lang w:eastAsia="de-DE"/>
        </w:rPr>
        <w:t xml:space="preserve">, </w:t>
      </w:r>
      <w:r w:rsidRPr="00931714">
        <w:rPr>
          <w:rFonts w:eastAsia="Times New Roman"/>
          <w:bCs/>
          <w:szCs w:val="24"/>
          <w:lang w:eastAsia="de-DE"/>
        </w:rPr>
        <w:t>Payment Services Austria</w:t>
      </w:r>
      <w:r w:rsidRPr="00FF4CAE">
        <w:rPr>
          <w:rFonts w:eastAsia="Times New Roman"/>
          <w:szCs w:val="24"/>
          <w:lang w:eastAsia="de-DE"/>
        </w:rPr>
        <w:t xml:space="preserve">, </w:t>
      </w:r>
      <w:r w:rsidRPr="00931714">
        <w:rPr>
          <w:rFonts w:eastAsia="Times New Roman"/>
          <w:bCs/>
          <w:szCs w:val="24"/>
          <w:lang w:eastAsia="de-DE"/>
        </w:rPr>
        <w:t>Redsys</w:t>
      </w:r>
      <w:r w:rsidRPr="00FF4CAE">
        <w:rPr>
          <w:rFonts w:eastAsia="Times New Roman"/>
          <w:szCs w:val="24"/>
          <w:lang w:eastAsia="de-DE"/>
        </w:rPr>
        <w:t>,</w:t>
      </w:r>
    </w:p>
    <w:p w14:paraId="2A66251D" w14:textId="77777777" w:rsidR="00FF4CAE" w:rsidRPr="00FF4CAE" w:rsidRDefault="00FF4CAE" w:rsidP="00FF4CAE">
      <w:pPr>
        <w:numPr>
          <w:ilvl w:val="1"/>
          <w:numId w:val="39"/>
        </w:numPr>
        <w:spacing w:before="100" w:beforeAutospacing="1" w:after="100" w:afterAutospacing="1"/>
        <w:rPr>
          <w:rFonts w:eastAsia="Times New Roman"/>
          <w:szCs w:val="24"/>
          <w:lang w:eastAsia="de-DE"/>
        </w:rPr>
      </w:pPr>
      <w:r w:rsidRPr="00931714">
        <w:rPr>
          <w:rFonts w:eastAsia="Times New Roman"/>
          <w:bCs/>
          <w:szCs w:val="24"/>
          <w:lang w:eastAsia="de-DE"/>
        </w:rPr>
        <w:lastRenderedPageBreak/>
        <w:t>SIBS</w:t>
      </w:r>
      <w:r w:rsidRPr="00FF4CAE">
        <w:rPr>
          <w:rFonts w:eastAsia="Times New Roman"/>
          <w:szCs w:val="24"/>
          <w:lang w:eastAsia="de-DE"/>
        </w:rPr>
        <w:t xml:space="preserve">, </w:t>
      </w:r>
      <w:r w:rsidRPr="00931714">
        <w:rPr>
          <w:rFonts w:eastAsia="Times New Roman"/>
          <w:bCs/>
          <w:szCs w:val="24"/>
          <w:lang w:eastAsia="de-DE"/>
        </w:rPr>
        <w:t>STET</w:t>
      </w:r>
      <w:r w:rsidRPr="00FF4CAE">
        <w:rPr>
          <w:rFonts w:eastAsia="Times New Roman"/>
          <w:szCs w:val="24"/>
          <w:lang w:eastAsia="de-DE"/>
        </w:rPr>
        <w:t xml:space="preserve">, </w:t>
      </w:r>
    </w:p>
    <w:p w14:paraId="2BAA8302" w14:textId="77777777" w:rsidR="00FF4CAE" w:rsidRPr="00FF4CAE" w:rsidRDefault="00FF4CAE" w:rsidP="00FF4CAE">
      <w:pPr>
        <w:numPr>
          <w:ilvl w:val="1"/>
          <w:numId w:val="39"/>
        </w:numPr>
        <w:spacing w:before="100" w:beforeAutospacing="1" w:after="100" w:afterAutospacing="1"/>
        <w:rPr>
          <w:rFonts w:eastAsia="Times New Roman"/>
          <w:szCs w:val="24"/>
          <w:lang w:eastAsia="de-DE"/>
        </w:rPr>
      </w:pPr>
      <w:r w:rsidRPr="00FF4CAE">
        <w:rPr>
          <w:rFonts w:eastAsia="Times New Roman"/>
          <w:szCs w:val="24"/>
          <w:lang w:eastAsia="de-DE"/>
        </w:rPr>
        <w:t xml:space="preserve">and many other European </w:t>
      </w:r>
      <w:r w:rsidRPr="00931714">
        <w:rPr>
          <w:rFonts w:eastAsia="Times New Roman"/>
          <w:bCs/>
          <w:szCs w:val="24"/>
          <w:lang w:eastAsia="de-DE"/>
        </w:rPr>
        <w:t>banking associations</w:t>
      </w:r>
      <w:r w:rsidRPr="00FF4CAE">
        <w:rPr>
          <w:rFonts w:eastAsia="Times New Roman"/>
          <w:szCs w:val="24"/>
          <w:lang w:eastAsia="de-DE"/>
        </w:rPr>
        <w:t xml:space="preserve">, </w:t>
      </w:r>
      <w:r w:rsidRPr="00931714">
        <w:rPr>
          <w:rFonts w:eastAsia="Times New Roman"/>
          <w:bCs/>
          <w:szCs w:val="24"/>
          <w:lang w:eastAsia="de-DE"/>
        </w:rPr>
        <w:t>banks</w:t>
      </w:r>
      <w:r w:rsidRPr="00FF4CAE">
        <w:rPr>
          <w:rFonts w:eastAsia="Times New Roman"/>
          <w:szCs w:val="24"/>
          <w:lang w:eastAsia="de-DE"/>
        </w:rPr>
        <w:t xml:space="preserve">, and </w:t>
      </w:r>
      <w:r w:rsidRPr="00931714">
        <w:rPr>
          <w:rFonts w:eastAsia="Times New Roman"/>
          <w:bCs/>
          <w:szCs w:val="24"/>
          <w:lang w:eastAsia="de-DE"/>
        </w:rPr>
        <w:t>payment processors</w:t>
      </w:r>
      <w:r w:rsidRPr="00FF4CAE">
        <w:rPr>
          <w:rFonts w:eastAsia="Times New Roman"/>
          <w:szCs w:val="24"/>
          <w:lang w:eastAsia="de-DE"/>
        </w:rPr>
        <w:t>.</w:t>
      </w:r>
    </w:p>
    <w:p w14:paraId="4770A36A" w14:textId="77777777" w:rsidR="00FF4CAE" w:rsidRPr="00FF4CAE" w:rsidRDefault="00822531" w:rsidP="00FF4CAE">
      <w:pPr>
        <w:spacing w:before="100" w:beforeAutospacing="1" w:after="100" w:afterAutospacing="1"/>
        <w:rPr>
          <w:rFonts w:eastAsia="Times New Roman"/>
          <w:szCs w:val="24"/>
          <w:lang w:eastAsia="de-DE"/>
        </w:rPr>
      </w:pPr>
      <w:r>
        <w:t>These organisations represent a significant portion of Europe’s financial infrastructure and share a common interest in harmonised, API-based access to financial data across domains including securities. This strong and diverse community involvement significantly increases the likelihood of early adoption and long-term success of the proposed ISO 20022 AIS for Securities Accounts API resources.</w:t>
      </w:r>
    </w:p>
    <w:p w14:paraId="473A027B" w14:textId="77777777" w:rsidR="00FF4CAE" w:rsidRPr="00FF4CAE" w:rsidRDefault="00A22E04" w:rsidP="00FF4CAE">
      <w:pPr>
        <w:spacing w:before="0"/>
        <w:rPr>
          <w:rFonts w:eastAsia="Times New Roman"/>
          <w:szCs w:val="24"/>
          <w:lang w:eastAsia="de-DE"/>
        </w:rPr>
      </w:pPr>
      <w:r>
        <w:rPr>
          <w:rFonts w:eastAsia="Times New Roman"/>
          <w:szCs w:val="24"/>
          <w:lang w:eastAsia="de-DE"/>
        </w:rPr>
        <w:pict w14:anchorId="007E7547">
          <v:rect id="_x0000_i1025" style="width:0;height:1.5pt" o:hralign="center" o:hrstd="t" o:hr="t" fillcolor="#a0a0a0" stroked="f"/>
        </w:pict>
      </w:r>
    </w:p>
    <w:p w14:paraId="177E14E2" w14:textId="77777777" w:rsidR="00427966" w:rsidRPr="00931714" w:rsidRDefault="00427966" w:rsidP="00D076C9">
      <w:pPr>
        <w:numPr>
          <w:ilvl w:val="0"/>
          <w:numId w:val="8"/>
        </w:numPr>
        <w:rPr>
          <w:b/>
          <w:szCs w:val="24"/>
        </w:rPr>
      </w:pPr>
      <w:r w:rsidRPr="00931714">
        <w:rPr>
          <w:b/>
          <w:szCs w:val="24"/>
        </w:rPr>
        <w:t>Timing and development:</w:t>
      </w:r>
    </w:p>
    <w:p w14:paraId="5AF3E0AA" w14:textId="77777777" w:rsidR="0057484F" w:rsidRPr="00822531" w:rsidRDefault="00822531" w:rsidP="0057484F">
      <w:pPr>
        <w:suppressLineNumbers/>
        <w:rPr>
          <w:szCs w:val="24"/>
        </w:rPr>
      </w:pPr>
      <w:r w:rsidRPr="00822531">
        <w:t xml:space="preserve">This request is of high urgency, as the AIS for Securities Accounts is an integral part of the forthcoming </w:t>
      </w:r>
      <w:r w:rsidRPr="00822531">
        <w:rPr>
          <w:rStyle w:val="Fett"/>
          <w:b w:val="0"/>
        </w:rPr>
        <w:t>EU Financial Data Access (FIDA)</w:t>
      </w:r>
      <w:r w:rsidRPr="00822531">
        <w:t xml:space="preserve"> framework. FIDA mandates standardised access to investment and securities account data and is expected to come into effect in 2025.</w:t>
      </w:r>
      <w:r w:rsidRPr="00822531">
        <w:br/>
        <w:t xml:space="preserve">It is therefore essential that the corresponding message definitions are incorporated into the ISO 20022 standard </w:t>
      </w:r>
      <w:r w:rsidRPr="00822531">
        <w:rPr>
          <w:rStyle w:val="Fett"/>
          <w:b w:val="0"/>
        </w:rPr>
        <w:t>prior to the start of the implementation phase</w:t>
      </w:r>
      <w:r w:rsidRPr="00822531">
        <w:t>, in order to ensure regulatory compliance and to avoid costly rework or inconsistencies across the financial industry.</w:t>
      </w:r>
    </w:p>
    <w:p w14:paraId="58FECD4C" w14:textId="77777777" w:rsidR="00DA116C" w:rsidRPr="002C426A" w:rsidRDefault="004B361F" w:rsidP="005D2709">
      <w:pPr>
        <w:numPr>
          <w:ilvl w:val="0"/>
          <w:numId w:val="5"/>
        </w:numPr>
        <w:suppressLineNumbers/>
        <w:rPr>
          <w:szCs w:val="24"/>
        </w:rPr>
      </w:pPr>
      <w:r w:rsidRPr="002C426A">
        <w:rPr>
          <w:szCs w:val="24"/>
        </w:rPr>
        <w:t>Berlin Group is intending to submit the API resource model in Q</w:t>
      </w:r>
      <w:r w:rsidR="00975588" w:rsidRPr="002C426A">
        <w:rPr>
          <w:szCs w:val="24"/>
        </w:rPr>
        <w:t>3</w:t>
      </w:r>
      <w:r w:rsidRPr="002C426A">
        <w:rPr>
          <w:szCs w:val="24"/>
        </w:rPr>
        <w:t xml:space="preserve"> 2025. Berlin Group has published already Implementation Guidelines (please find the document attached for your information) and has published already </w:t>
      </w:r>
      <w:proofErr w:type="spellStart"/>
      <w:r w:rsidRPr="002C426A">
        <w:rPr>
          <w:szCs w:val="24"/>
        </w:rPr>
        <w:t>yaml</w:t>
      </w:r>
      <w:proofErr w:type="spellEnd"/>
      <w:r w:rsidRPr="002C426A">
        <w:rPr>
          <w:szCs w:val="24"/>
        </w:rPr>
        <w:t xml:space="preserve"> definitions for the </w:t>
      </w:r>
      <w:proofErr w:type="gramStart"/>
      <w:r w:rsidRPr="002C426A">
        <w:rPr>
          <w:szCs w:val="24"/>
        </w:rPr>
        <w:t xml:space="preserve">service.  </w:t>
      </w:r>
      <w:r w:rsidR="00080D3A" w:rsidRPr="002C426A">
        <w:rPr>
          <w:szCs w:val="24"/>
        </w:rPr>
        <w:t>;</w:t>
      </w:r>
      <w:proofErr w:type="gramEnd"/>
    </w:p>
    <w:p w14:paraId="4216B9E5" w14:textId="77777777" w:rsidR="007F6A8C" w:rsidRPr="002C426A" w:rsidRDefault="004B361F" w:rsidP="005D2709">
      <w:pPr>
        <w:numPr>
          <w:ilvl w:val="0"/>
          <w:numId w:val="5"/>
        </w:numPr>
        <w:suppressLineNumbers/>
        <w:rPr>
          <w:szCs w:val="24"/>
        </w:rPr>
      </w:pPr>
      <w:r w:rsidRPr="002C426A">
        <w:rPr>
          <w:szCs w:val="24"/>
        </w:rPr>
        <w:t xml:space="preserve">Berlin Group comprises more than 60 banks, banking associations and payment systems from Europe and abroad. Theses organisations will be </w:t>
      </w:r>
      <w:r w:rsidR="009C1C90" w:rsidRPr="002C426A">
        <w:rPr>
          <w:szCs w:val="24"/>
        </w:rPr>
        <w:t xml:space="preserve">indirectly </w:t>
      </w:r>
      <w:r w:rsidRPr="002C426A">
        <w:rPr>
          <w:szCs w:val="24"/>
        </w:rPr>
        <w:t xml:space="preserve">involved by the Berlin Group secretariat when further discussing this topic. Further, the Berlin Group API Expert Group </w:t>
      </w:r>
      <w:r w:rsidR="009C1C90" w:rsidRPr="002C426A">
        <w:rPr>
          <w:szCs w:val="24"/>
        </w:rPr>
        <w:t xml:space="preserve">is the technical committee writing all technical documentation for the </w:t>
      </w:r>
      <w:proofErr w:type="spellStart"/>
      <w:r w:rsidR="009C1C90" w:rsidRPr="002C426A">
        <w:rPr>
          <w:szCs w:val="24"/>
        </w:rPr>
        <w:t>openFinance</w:t>
      </w:r>
      <w:proofErr w:type="spellEnd"/>
      <w:r w:rsidR="009C1C90" w:rsidRPr="002C426A">
        <w:rPr>
          <w:szCs w:val="24"/>
        </w:rPr>
        <w:t xml:space="preserve"> API Framework. This group will be directly involved in all discussions with the RA on drafting the API resources.</w:t>
      </w:r>
      <w:r w:rsidR="00080D3A" w:rsidRPr="002C426A">
        <w:rPr>
          <w:szCs w:val="24"/>
        </w:rPr>
        <w:t>;</w:t>
      </w:r>
    </w:p>
    <w:p w14:paraId="7CE6657F" w14:textId="77777777" w:rsidR="00170605" w:rsidRPr="00931714" w:rsidRDefault="00170605" w:rsidP="003F666C">
      <w:pPr>
        <w:numPr>
          <w:ilvl w:val="0"/>
          <w:numId w:val="8"/>
        </w:numPr>
        <w:suppressLineNumbers/>
        <w:rPr>
          <w:b/>
          <w:szCs w:val="24"/>
        </w:rPr>
      </w:pPr>
      <w:r w:rsidRPr="00931714">
        <w:rPr>
          <w:b/>
          <w:szCs w:val="24"/>
        </w:rPr>
        <w:t xml:space="preserve">Commitments of the submitting </w:t>
      </w:r>
      <w:r w:rsidR="001F7568" w:rsidRPr="00931714">
        <w:rPr>
          <w:b/>
          <w:szCs w:val="24"/>
        </w:rPr>
        <w:t>organisation</w:t>
      </w:r>
      <w:r w:rsidR="000E4A97" w:rsidRPr="00931714">
        <w:rPr>
          <w:b/>
          <w:szCs w:val="24"/>
        </w:rPr>
        <w:t>:</w:t>
      </w:r>
    </w:p>
    <w:p w14:paraId="2DD0BB24" w14:textId="77777777" w:rsidR="000C25A9" w:rsidRPr="00931714" w:rsidRDefault="00822531" w:rsidP="000C25A9">
      <w:pPr>
        <w:suppressLineNumbers/>
        <w:rPr>
          <w:color w:val="FF0000"/>
          <w:szCs w:val="24"/>
        </w:rPr>
      </w:pPr>
      <w:r>
        <w:t>The submitting organisation confirms that it can and will undertake the development of the AIS for Securities Accounts ISO 20022 API resource models and submit them to the Registration Authority (RA) for compliance review and evaluation. The submission will adhere to the ISO 20022 Master Rules and will include a draft Part 1 of the ISO 20022 Resource Definition Report (RDR), using the template provided by the RA. Optionally, examples of valid and invalid instances of each candidate ISO 20022 API resource may be included.</w:t>
      </w:r>
    </w:p>
    <w:p w14:paraId="3BA80D40" w14:textId="77777777" w:rsidR="00822531" w:rsidRPr="00EC4D4C" w:rsidRDefault="00822531" w:rsidP="00822531">
      <w:pPr>
        <w:spacing w:before="100" w:beforeAutospacing="1" w:after="100" w:afterAutospacing="1"/>
        <w:rPr>
          <w:lang w:eastAsia="de-DE"/>
        </w:rPr>
      </w:pPr>
      <w:r>
        <w:t>The submitting organisation commits to addressing any queries raised by the RA in relation to the description of the models and API resources as published on the ISO 20022 website.</w:t>
      </w:r>
    </w:p>
    <w:p w14:paraId="39111A6E" w14:textId="77777777" w:rsidR="00822531" w:rsidRDefault="00822531" w:rsidP="00822531">
      <w:pPr>
        <w:spacing w:before="100" w:beforeAutospacing="1" w:after="100" w:afterAutospacing="1"/>
      </w:pPr>
      <w:r>
        <w:t>The submitting organisation will promptly notify the RA of any changes or updated information regarding the number of candidate API resources or the timing of their submission to the RA. Should the organisation fail to submit the resources by the deadline stated in section F, without prior notification to the RA, the business justification may lapse and require re-submission for approval by the Registration Management Group (RMG).</w:t>
      </w:r>
    </w:p>
    <w:p w14:paraId="602FC10E" w14:textId="1C7F4B87" w:rsidR="00822531" w:rsidRDefault="00822531" w:rsidP="00822531">
      <w:pPr>
        <w:spacing w:before="100" w:beforeAutospacing="1" w:after="100" w:afterAutospacing="1"/>
      </w:pPr>
      <w:r>
        <w:lastRenderedPageBreak/>
        <w:t>The submitting organisation intends to organise testing of the candidate API resources after they have been reviewed and qualified by the RA, and prior to submission to the relevant SEG(s), the API SEG, BMST and/or TSG.</w:t>
      </w:r>
      <w:r>
        <w:br/>
      </w:r>
      <w:r w:rsidR="009C1C90">
        <w:t>The expectation of the completion of testing cannot be scheduled yet, because it will be dependent of the regulatory de</w:t>
      </w:r>
      <w:r w:rsidR="00F30212">
        <w:t>ve</w:t>
      </w:r>
      <w:r w:rsidR="009C1C90">
        <w:t>lopments in 2025.</w:t>
      </w:r>
      <w:r>
        <w:t>. The submitting organisation will promptly inform the RA of any changes to this testing and re-submission timeline. Failure to do so may result in the lapse of this business justification.</w:t>
      </w:r>
    </w:p>
    <w:p w14:paraId="230E20C9" w14:textId="77777777" w:rsidR="00822531" w:rsidRDefault="00822531" w:rsidP="00822531">
      <w:pPr>
        <w:spacing w:before="100" w:beforeAutospacing="1" w:after="100" w:afterAutospacing="1"/>
      </w:pPr>
      <w:r>
        <w:t>The submitting organisation confirms its commitment to the ongoing maintenance of the ISO 20022 API resources it submits.</w:t>
      </w:r>
    </w:p>
    <w:p w14:paraId="700C8BAB" w14:textId="77777777" w:rsidR="00822531" w:rsidRDefault="00822531" w:rsidP="00822531">
      <w:pPr>
        <w:spacing w:before="100" w:beforeAutospacing="1" w:after="100" w:afterAutospacing="1"/>
      </w:pPr>
      <w:r>
        <w:t>The submitting organisation also confirms its awareness of, and agreement with, the ISO 20022 Intellectual Property Rights (IPR) policy applicable to contributing organisations, as outlined below:</w:t>
      </w:r>
    </w:p>
    <w:p w14:paraId="2C57185B" w14:textId="77777777" w:rsidR="008F141A" w:rsidRPr="00931714" w:rsidRDefault="00822531" w:rsidP="00822531">
      <w:pPr>
        <w:suppressLineNumbers/>
        <w:rPr>
          <w:b/>
          <w:szCs w:val="24"/>
        </w:rPr>
      </w:pPr>
      <w:r w:rsidRPr="00931714">
        <w:rPr>
          <w:i/>
          <w:snapToGrid w:val="0"/>
        </w:rPr>
        <w:t xml:space="preserve"> </w:t>
      </w:r>
      <w:r w:rsidR="008F141A" w:rsidRPr="00931714">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008F141A" w:rsidRPr="00931714">
        <w:rPr>
          <w:i/>
        </w:rPr>
        <w:t>in accordance with the rules set in ISO 20022</w:t>
      </w:r>
      <w:r w:rsidR="008F141A" w:rsidRPr="00931714">
        <w:rPr>
          <w:i/>
          <w:snapToGrid w:val="0"/>
        </w:rPr>
        <w:t>. T</w:t>
      </w:r>
      <w:r w:rsidR="008F141A" w:rsidRPr="00931714">
        <w:rPr>
          <w:i/>
        </w:rPr>
        <w:t>o ascertain a widespread, public and uniform use of the ISO 20022 Repository information, t</w:t>
      </w:r>
      <w:r w:rsidR="008F141A" w:rsidRPr="00931714">
        <w:rPr>
          <w:i/>
          <w:snapToGrid w:val="0"/>
        </w:rPr>
        <w:t xml:space="preserve">he contributing organization </w:t>
      </w:r>
      <w:r w:rsidR="008F141A" w:rsidRPr="00931714">
        <w:rPr>
          <w:i/>
        </w:rPr>
        <w:t xml:space="preserve">grants third parties a non-exclusive, royalty-free </w:t>
      </w:r>
      <w:r w:rsidR="008C268F" w:rsidRPr="00931714">
        <w:rPr>
          <w:i/>
        </w:rPr>
        <w:t>license</w:t>
      </w:r>
      <w:r w:rsidR="008F141A" w:rsidRPr="00931714">
        <w:rPr>
          <w:i/>
        </w:rPr>
        <w:t xml:space="preserve"> to use the published information”</w:t>
      </w:r>
      <w:r w:rsidR="008F141A" w:rsidRPr="00931714">
        <w:rPr>
          <w:i/>
          <w:snapToGrid w:val="0"/>
        </w:rPr>
        <w:t>.</w:t>
      </w:r>
      <w:r w:rsidR="008F141A" w:rsidRPr="00931714">
        <w:rPr>
          <w:szCs w:val="24"/>
        </w:rPr>
        <w:t xml:space="preserve"> </w:t>
      </w:r>
    </w:p>
    <w:p w14:paraId="244E3101" w14:textId="77777777" w:rsidR="00723DE0" w:rsidRPr="00931714" w:rsidRDefault="00723DE0" w:rsidP="003F666C">
      <w:pPr>
        <w:numPr>
          <w:ilvl w:val="0"/>
          <w:numId w:val="8"/>
        </w:numPr>
        <w:suppressLineNumbers/>
        <w:rPr>
          <w:szCs w:val="24"/>
        </w:rPr>
      </w:pPr>
      <w:r w:rsidRPr="00931714">
        <w:rPr>
          <w:b/>
          <w:szCs w:val="24"/>
        </w:rPr>
        <w:t>Contact persons:</w:t>
      </w:r>
    </w:p>
    <w:p w14:paraId="66BAB3F3" w14:textId="77777777" w:rsidR="00F02B6C" w:rsidRPr="00EC4D4C" w:rsidRDefault="00F02B6C" w:rsidP="00F02B6C">
      <w:pPr>
        <w:suppressLineNumbers/>
        <w:rPr>
          <w:szCs w:val="24"/>
          <w:lang w:val="de-DE"/>
        </w:rPr>
      </w:pPr>
      <w:r w:rsidRPr="00EC4D4C">
        <w:rPr>
          <w:szCs w:val="24"/>
          <w:lang w:val="de-DE"/>
        </w:rPr>
        <w:t xml:space="preserve">Ortwin Scheja, </w:t>
      </w:r>
      <w:r w:rsidR="00A22E04">
        <w:fldChar w:fldCharType="begin"/>
      </w:r>
      <w:r w:rsidR="00A22E04" w:rsidRPr="00A22E04">
        <w:rPr>
          <w:lang w:val="de-DE"/>
        </w:rPr>
        <w:instrText xml:space="preserve"> HYPERLINK "mailto:ortwin.scheja@src-gmbh.de" </w:instrText>
      </w:r>
      <w:r w:rsidR="00A22E04">
        <w:fldChar w:fldCharType="separate"/>
      </w:r>
      <w:r w:rsidRPr="00EC4D4C">
        <w:rPr>
          <w:rStyle w:val="Hyperlink"/>
          <w:szCs w:val="24"/>
          <w:lang w:val="de-DE"/>
        </w:rPr>
        <w:t>ortwin.scheja@src-gmbh.de</w:t>
      </w:r>
      <w:r w:rsidR="00A22E04">
        <w:rPr>
          <w:rStyle w:val="Hyperlink"/>
          <w:szCs w:val="24"/>
          <w:lang w:val="de-DE"/>
        </w:rPr>
        <w:fldChar w:fldCharType="end"/>
      </w:r>
      <w:r w:rsidRPr="00EC4D4C">
        <w:rPr>
          <w:szCs w:val="24"/>
          <w:lang w:val="de-DE"/>
        </w:rPr>
        <w:t>, +49 228 2806109.</w:t>
      </w:r>
    </w:p>
    <w:p w14:paraId="23966126" w14:textId="77777777" w:rsidR="006C49C9" w:rsidRPr="00EC4D4C" w:rsidRDefault="006C49C9" w:rsidP="005D2709">
      <w:pPr>
        <w:suppressLineNumbers/>
        <w:rPr>
          <w:szCs w:val="24"/>
          <w:lang w:val="de-DE"/>
        </w:rPr>
      </w:pPr>
    </w:p>
    <w:p w14:paraId="5B19A98C" w14:textId="77777777" w:rsidR="007D76AA" w:rsidRPr="00931714" w:rsidRDefault="007D76AA" w:rsidP="003F666C">
      <w:pPr>
        <w:numPr>
          <w:ilvl w:val="0"/>
          <w:numId w:val="8"/>
        </w:numPr>
        <w:suppressLineNumbers/>
        <w:rPr>
          <w:b/>
          <w:szCs w:val="24"/>
        </w:rPr>
      </w:pPr>
      <w:r w:rsidRPr="00931714">
        <w:rPr>
          <w:b/>
          <w:szCs w:val="24"/>
        </w:rPr>
        <w:t>Comments from the RMG members</w:t>
      </w:r>
      <w:r w:rsidR="00C65207" w:rsidRPr="00931714">
        <w:rPr>
          <w:b/>
          <w:szCs w:val="24"/>
        </w:rPr>
        <w:t xml:space="preserve"> and relevant SEG(s) </w:t>
      </w:r>
      <w:r w:rsidR="002C4418" w:rsidRPr="00931714">
        <w:rPr>
          <w:b/>
          <w:szCs w:val="24"/>
        </w:rPr>
        <w:t xml:space="preserve">or SubSEG(s) </w:t>
      </w:r>
      <w:r w:rsidR="00C65207" w:rsidRPr="00931714">
        <w:rPr>
          <w:b/>
          <w:szCs w:val="24"/>
        </w:rPr>
        <w:t xml:space="preserve">and disposition of comments by the submitting </w:t>
      </w:r>
      <w:r w:rsidR="001F7568" w:rsidRPr="00931714">
        <w:rPr>
          <w:b/>
          <w:szCs w:val="24"/>
        </w:rPr>
        <w:t>organisation</w:t>
      </w:r>
      <w:r w:rsidRPr="00931714">
        <w:rPr>
          <w:b/>
          <w:szCs w:val="24"/>
        </w:rPr>
        <w:t>:</w:t>
      </w:r>
    </w:p>
    <w:p w14:paraId="028A494A" w14:textId="77777777" w:rsidR="007D76AA" w:rsidRPr="00931714" w:rsidRDefault="007D76AA" w:rsidP="005D2709">
      <w:pPr>
        <w:suppressLineNumbers/>
        <w:rPr>
          <w:szCs w:val="24"/>
        </w:rPr>
      </w:pPr>
      <w:r w:rsidRPr="00931714">
        <w:rPr>
          <w:szCs w:val="24"/>
        </w:rPr>
        <w:t>This section will include the comments received from RMG members</w:t>
      </w:r>
      <w:r w:rsidR="00C65207" w:rsidRPr="00931714">
        <w:rPr>
          <w:szCs w:val="24"/>
        </w:rPr>
        <w:t xml:space="preserve"> and the SEG(s)</w:t>
      </w:r>
      <w:r w:rsidR="00F1481D" w:rsidRPr="00931714">
        <w:rPr>
          <w:szCs w:val="24"/>
        </w:rPr>
        <w:t>,</w:t>
      </w:r>
      <w:r w:rsidR="002C4418" w:rsidRPr="00931714">
        <w:rPr>
          <w:szCs w:val="24"/>
        </w:rPr>
        <w:t xml:space="preserve"> </w:t>
      </w:r>
      <w:proofErr w:type="spellStart"/>
      <w:r w:rsidR="002C4418" w:rsidRPr="00931714">
        <w:rPr>
          <w:szCs w:val="24"/>
        </w:rPr>
        <w:t>SubSEG</w:t>
      </w:r>
      <w:proofErr w:type="spellEnd"/>
      <w:r w:rsidR="002C4418" w:rsidRPr="00931714">
        <w:rPr>
          <w:szCs w:val="24"/>
        </w:rPr>
        <w:t>(s)</w:t>
      </w:r>
      <w:r w:rsidR="00DD579A" w:rsidRPr="00931714">
        <w:rPr>
          <w:szCs w:val="24"/>
        </w:rPr>
        <w:t>, API SEG,</w:t>
      </w:r>
      <w:r w:rsidR="00F1481D" w:rsidRPr="00931714">
        <w:rPr>
          <w:szCs w:val="24"/>
        </w:rPr>
        <w:t xml:space="preserve"> BMST and/or TSG</w:t>
      </w:r>
      <w:r w:rsidRPr="00931714">
        <w:rPr>
          <w:szCs w:val="24"/>
        </w:rPr>
        <w:t>, if any</w:t>
      </w:r>
      <w:r w:rsidR="00C65207" w:rsidRPr="00931714">
        <w:rPr>
          <w:szCs w:val="24"/>
        </w:rPr>
        <w:t xml:space="preserve">, and the response </w:t>
      </w:r>
      <w:r w:rsidR="00267897" w:rsidRPr="00931714">
        <w:rPr>
          <w:szCs w:val="24"/>
        </w:rPr>
        <w:t>g</w:t>
      </w:r>
      <w:r w:rsidR="00C65207" w:rsidRPr="00931714">
        <w:rPr>
          <w:szCs w:val="24"/>
        </w:rPr>
        <w:t xml:space="preserve">iven to each of these comments by the submitting </w:t>
      </w:r>
      <w:r w:rsidR="001F7568" w:rsidRPr="00931714">
        <w:rPr>
          <w:szCs w:val="24"/>
        </w:rPr>
        <w:t>organisation</w:t>
      </w:r>
      <w:r w:rsidRPr="00931714">
        <w:rPr>
          <w:szCs w:val="24"/>
        </w:rPr>
        <w:t xml:space="preserve">. </w:t>
      </w:r>
    </w:p>
    <w:sectPr w:rsidR="007D76AA" w:rsidRPr="00931714" w:rsidSect="00D5066D">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DAC53" w14:textId="77777777" w:rsidR="00BB4F86" w:rsidRDefault="00BB4F86">
      <w:r>
        <w:separator/>
      </w:r>
    </w:p>
  </w:endnote>
  <w:endnote w:type="continuationSeparator" w:id="0">
    <w:p w14:paraId="241BB21D" w14:textId="77777777" w:rsidR="00BB4F86" w:rsidRDefault="00BB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08B2" w14:textId="47C4C4B7" w:rsidR="00471CE5" w:rsidRDefault="00471CE5">
    <w:pPr>
      <w:pStyle w:val="Fuzeile"/>
      <w:rPr>
        <w:rStyle w:val="Seitenzahl"/>
        <w:noProof/>
      </w:rPr>
    </w:pPr>
    <w:r w:rsidDel="00894437">
      <w:t xml:space="preserve"> </w:t>
    </w:r>
    <w:r>
      <w:fldChar w:fldCharType="begin"/>
    </w:r>
    <w:r>
      <w:instrText xml:space="preserve"> FILENAME </w:instrText>
    </w:r>
    <w:r>
      <w:fldChar w:fldCharType="separate"/>
    </w:r>
    <w:r w:rsidR="00A22E04">
      <w:rPr>
        <w:noProof/>
      </w:rPr>
      <w:t>20250526_API_Resources_BJ_AIS_Securities_Berlin Group</w:t>
    </w:r>
    <w:r>
      <w:fldChar w:fldCharType="end"/>
    </w:r>
    <w:r>
      <w:tab/>
      <w:t xml:space="preserve">Produced by </w:t>
    </w:r>
    <w:r w:rsidR="00D9778C">
      <w:rPr>
        <w:i/>
        <w:iCs/>
        <w:highlight w:val="lightGray"/>
      </w:rPr>
      <w:t>Berlin Group</w:t>
    </w:r>
    <w:r>
      <w:tab/>
      <w:t xml:space="preserve">Page </w:t>
    </w:r>
    <w:r>
      <w:rPr>
        <w:rStyle w:val="Seitenzahl"/>
      </w:rPr>
      <w:fldChar w:fldCharType="begin"/>
    </w:r>
    <w:r>
      <w:rPr>
        <w:rStyle w:val="Seitenzahl"/>
      </w:rPr>
      <w:instrText xml:space="preserve"> PAGE </w:instrText>
    </w:r>
    <w:r>
      <w:rPr>
        <w:rStyle w:val="Seitenzahl"/>
      </w:rPr>
      <w:fldChar w:fldCharType="separate"/>
    </w:r>
    <w:r w:rsidR="00291DBB">
      <w:rPr>
        <w:rStyle w:val="Seitenzahl"/>
        <w:noProof/>
      </w:rPr>
      <w:t>2</w:t>
    </w:r>
    <w:r>
      <w:rPr>
        <w:rStyle w:val="Seitenzahl"/>
      </w:rPr>
      <w:fldChar w:fldCharType="end"/>
    </w:r>
  </w:p>
  <w:p w14:paraId="286C6524" w14:textId="77777777" w:rsidR="00471CE5" w:rsidRDefault="00471CE5" w:rsidP="00EF6661">
    <w:pPr>
      <w:pStyle w:val="Fuzeile"/>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C8066" w14:textId="77777777" w:rsidR="00BB4F86" w:rsidRDefault="00BB4F86">
      <w:r>
        <w:separator/>
      </w:r>
    </w:p>
  </w:footnote>
  <w:footnote w:type="continuationSeparator" w:id="0">
    <w:p w14:paraId="75F06AB3" w14:textId="77777777" w:rsidR="00BB4F86" w:rsidRDefault="00BB4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000000"/>
    <w:lvl w:ilvl="0">
      <w:start w:val="1"/>
      <w:numFmt w:val="bullet"/>
      <w:pStyle w:val="Aufzhlungszeichen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ennumm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CF6F7E"/>
    <w:multiLevelType w:val="multilevel"/>
    <w:tmpl w:val="244A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629A3"/>
    <w:multiLevelType w:val="hybridMultilevel"/>
    <w:tmpl w:val="195433A4"/>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7" w15:restartNumberingAfterBreak="0">
    <w:nsid w:val="15837F5D"/>
    <w:multiLevelType w:val="hybridMultilevel"/>
    <w:tmpl w:val="C8BA03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F256AC"/>
    <w:multiLevelType w:val="hybridMultilevel"/>
    <w:tmpl w:val="43021BD2"/>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8856A5"/>
    <w:multiLevelType w:val="hybridMultilevel"/>
    <w:tmpl w:val="79F424BA"/>
    <w:lvl w:ilvl="0" w:tplc="0407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E61FA1"/>
    <w:multiLevelType w:val="hybridMultilevel"/>
    <w:tmpl w:val="170A2E3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3" w15:restartNumberingAfterBreak="0">
    <w:nsid w:val="340F6AB3"/>
    <w:multiLevelType w:val="hybridMultilevel"/>
    <w:tmpl w:val="1784853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C8666F"/>
    <w:multiLevelType w:val="hybridMultilevel"/>
    <w:tmpl w:val="0108E04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D6164BC"/>
    <w:multiLevelType w:val="hybridMultilevel"/>
    <w:tmpl w:val="79203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632D5F"/>
    <w:multiLevelType w:val="hybridMultilevel"/>
    <w:tmpl w:val="B11611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DE76B1"/>
    <w:multiLevelType w:val="hybridMultilevel"/>
    <w:tmpl w:val="82AC87A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378240C"/>
    <w:multiLevelType w:val="hybridMultilevel"/>
    <w:tmpl w:val="6B1EEDAA"/>
    <w:lvl w:ilvl="0" w:tplc="0407000F">
      <w:start w:val="1"/>
      <w:numFmt w:val="decimal"/>
      <w:lvlText w:val="%1."/>
      <w:lvlJc w:val="left"/>
      <w:pPr>
        <w:tabs>
          <w:tab w:val="num" w:pos="720"/>
        </w:tabs>
        <w:ind w:left="720" w:hanging="360"/>
      </w:pPr>
      <w:rPr>
        <w:rFonts w:hint="default"/>
        <w:b w:val="0"/>
        <w:i w:val="0"/>
      </w:rPr>
    </w:lvl>
    <w:lvl w:ilvl="1" w:tplc="04070017">
      <w:start w:val="1"/>
      <w:numFmt w:val="lowerLetter"/>
      <w:lvlText w:val="%2)"/>
      <w:lvlJc w:val="left"/>
      <w:pPr>
        <w:tabs>
          <w:tab w:val="num" w:pos="1440"/>
        </w:tabs>
        <w:ind w:left="1440" w:hanging="360"/>
      </w:pPr>
      <w:rPr>
        <w:rFonts w:hint="default"/>
      </w:rPr>
    </w:lvl>
    <w:lvl w:ilvl="2" w:tplc="0407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CD4F68"/>
    <w:multiLevelType w:val="hybridMultilevel"/>
    <w:tmpl w:val="140A2D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B402812"/>
    <w:multiLevelType w:val="hybridMultilevel"/>
    <w:tmpl w:val="F440C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324F02"/>
    <w:multiLevelType w:val="hybridMultilevel"/>
    <w:tmpl w:val="A8F082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14510CD"/>
    <w:multiLevelType w:val="hybridMultilevel"/>
    <w:tmpl w:val="79ECE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E4204C"/>
    <w:multiLevelType w:val="hybridMultilevel"/>
    <w:tmpl w:val="691A767A"/>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8E4F8F"/>
    <w:multiLevelType w:val="multilevel"/>
    <w:tmpl w:val="EAC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D4F24"/>
    <w:multiLevelType w:val="hybridMultilevel"/>
    <w:tmpl w:val="A600BB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D8468ED"/>
    <w:multiLevelType w:val="hybridMultilevel"/>
    <w:tmpl w:val="69A422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FB45069"/>
    <w:multiLevelType w:val="hybridMultilevel"/>
    <w:tmpl w:val="494C530E"/>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9"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DE4A26"/>
    <w:multiLevelType w:val="hybridMultilevel"/>
    <w:tmpl w:val="0958C50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8EB47CD"/>
    <w:multiLevelType w:val="hybridMultilevel"/>
    <w:tmpl w:val="81A87E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F08665E"/>
    <w:multiLevelType w:val="hybridMultilevel"/>
    <w:tmpl w:val="C3C0534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3" w15:restartNumberingAfterBreak="0">
    <w:nsid w:val="6F6B202B"/>
    <w:multiLevelType w:val="hybridMultilevel"/>
    <w:tmpl w:val="9A3452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70732C29"/>
    <w:multiLevelType w:val="hybridMultilevel"/>
    <w:tmpl w:val="9FCAB7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93140"/>
    <w:multiLevelType w:val="hybridMultilevel"/>
    <w:tmpl w:val="55E8FDB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7" w15:restartNumberingAfterBreak="0">
    <w:nsid w:val="7CA92307"/>
    <w:multiLevelType w:val="hybridMultilevel"/>
    <w:tmpl w:val="E59881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F426E57"/>
    <w:multiLevelType w:val="hybridMultilevel"/>
    <w:tmpl w:val="D25E1B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29"/>
  </w:num>
  <w:num w:numId="6">
    <w:abstractNumId w:val="35"/>
  </w:num>
  <w:num w:numId="7">
    <w:abstractNumId w:val="11"/>
  </w:num>
  <w:num w:numId="8">
    <w:abstractNumId w:val="8"/>
  </w:num>
  <w:num w:numId="9">
    <w:abstractNumId w:val="24"/>
  </w:num>
  <w:num w:numId="10">
    <w:abstractNumId w:val="18"/>
  </w:num>
  <w:num w:numId="11">
    <w:abstractNumId w:val="4"/>
  </w:num>
  <w:num w:numId="12">
    <w:abstractNumId w:val="9"/>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3"/>
  </w:num>
  <w:num w:numId="16">
    <w:abstractNumId w:val="16"/>
  </w:num>
  <w:num w:numId="17">
    <w:abstractNumId w:val="38"/>
  </w:num>
  <w:num w:numId="18">
    <w:abstractNumId w:val="6"/>
  </w:num>
  <w:num w:numId="19">
    <w:abstractNumId w:val="23"/>
  </w:num>
  <w:num w:numId="20">
    <w:abstractNumId w:val="32"/>
  </w:num>
  <w:num w:numId="21">
    <w:abstractNumId w:val="12"/>
  </w:num>
  <w:num w:numId="22">
    <w:abstractNumId w:val="36"/>
  </w:num>
  <w:num w:numId="23">
    <w:abstractNumId w:val="28"/>
  </w:num>
  <w:num w:numId="24">
    <w:abstractNumId w:val="7"/>
  </w:num>
  <w:num w:numId="25">
    <w:abstractNumId w:val="34"/>
  </w:num>
  <w:num w:numId="26">
    <w:abstractNumId w:val="22"/>
  </w:num>
  <w:num w:numId="27">
    <w:abstractNumId w:val="21"/>
  </w:num>
  <w:num w:numId="28">
    <w:abstractNumId w:val="26"/>
  </w:num>
  <w:num w:numId="29">
    <w:abstractNumId w:val="37"/>
  </w:num>
  <w:num w:numId="30">
    <w:abstractNumId w:val="27"/>
  </w:num>
  <w:num w:numId="31">
    <w:abstractNumId w:val="30"/>
  </w:num>
  <w:num w:numId="32">
    <w:abstractNumId w:val="25"/>
  </w:num>
  <w:num w:numId="33">
    <w:abstractNumId w:val="15"/>
  </w:num>
  <w:num w:numId="34">
    <w:abstractNumId w:val="20"/>
  </w:num>
  <w:num w:numId="35">
    <w:abstractNumId w:val="14"/>
  </w:num>
  <w:num w:numId="36">
    <w:abstractNumId w:val="17"/>
  </w:num>
  <w:num w:numId="37">
    <w:abstractNumId w:val="5"/>
  </w:num>
  <w:num w:numId="38">
    <w:abstractNumId w:val="31"/>
  </w:num>
  <w:num w:numId="39">
    <w:abstractNumId w:val="1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D1E"/>
    <w:rsid w:val="000127ED"/>
    <w:rsid w:val="00014631"/>
    <w:rsid w:val="00021C86"/>
    <w:rsid w:val="0003395A"/>
    <w:rsid w:val="00035321"/>
    <w:rsid w:val="00041661"/>
    <w:rsid w:val="000444CC"/>
    <w:rsid w:val="000558EF"/>
    <w:rsid w:val="000610B6"/>
    <w:rsid w:val="00070308"/>
    <w:rsid w:val="00080D3A"/>
    <w:rsid w:val="000823AA"/>
    <w:rsid w:val="00082743"/>
    <w:rsid w:val="00082C2E"/>
    <w:rsid w:val="000837C7"/>
    <w:rsid w:val="00085864"/>
    <w:rsid w:val="000A0CE8"/>
    <w:rsid w:val="000A20E4"/>
    <w:rsid w:val="000B040F"/>
    <w:rsid w:val="000B06B2"/>
    <w:rsid w:val="000B4175"/>
    <w:rsid w:val="000C015D"/>
    <w:rsid w:val="000C0FDB"/>
    <w:rsid w:val="000C25A9"/>
    <w:rsid w:val="000E09E5"/>
    <w:rsid w:val="000E2471"/>
    <w:rsid w:val="000E458D"/>
    <w:rsid w:val="000E4A97"/>
    <w:rsid w:val="000E6685"/>
    <w:rsid w:val="000E715A"/>
    <w:rsid w:val="000F2ED9"/>
    <w:rsid w:val="000F43E3"/>
    <w:rsid w:val="000F4F69"/>
    <w:rsid w:val="000F65D1"/>
    <w:rsid w:val="00101212"/>
    <w:rsid w:val="00103640"/>
    <w:rsid w:val="0011751D"/>
    <w:rsid w:val="00134A35"/>
    <w:rsid w:val="00137482"/>
    <w:rsid w:val="0014379C"/>
    <w:rsid w:val="00150FB5"/>
    <w:rsid w:val="001555BB"/>
    <w:rsid w:val="00160588"/>
    <w:rsid w:val="00162CC7"/>
    <w:rsid w:val="00164894"/>
    <w:rsid w:val="00170605"/>
    <w:rsid w:val="0017153A"/>
    <w:rsid w:val="00171FC5"/>
    <w:rsid w:val="001742C3"/>
    <w:rsid w:val="00182324"/>
    <w:rsid w:val="00185453"/>
    <w:rsid w:val="00186FFC"/>
    <w:rsid w:val="001A1E15"/>
    <w:rsid w:val="001A283A"/>
    <w:rsid w:val="001A632F"/>
    <w:rsid w:val="001C0C82"/>
    <w:rsid w:val="001C1E08"/>
    <w:rsid w:val="001C63E9"/>
    <w:rsid w:val="001D0D1B"/>
    <w:rsid w:val="001D176B"/>
    <w:rsid w:val="001D20B3"/>
    <w:rsid w:val="001E287E"/>
    <w:rsid w:val="001E2B1C"/>
    <w:rsid w:val="001E3BCF"/>
    <w:rsid w:val="001F7568"/>
    <w:rsid w:val="001F7DFF"/>
    <w:rsid w:val="002002E2"/>
    <w:rsid w:val="00203AF3"/>
    <w:rsid w:val="00206EA4"/>
    <w:rsid w:val="0021253F"/>
    <w:rsid w:val="0021260F"/>
    <w:rsid w:val="00217122"/>
    <w:rsid w:val="00217322"/>
    <w:rsid w:val="00217A6D"/>
    <w:rsid w:val="00220F5D"/>
    <w:rsid w:val="00230574"/>
    <w:rsid w:val="002309F6"/>
    <w:rsid w:val="0023622E"/>
    <w:rsid w:val="002452B5"/>
    <w:rsid w:val="00245CA2"/>
    <w:rsid w:val="00260B00"/>
    <w:rsid w:val="00266992"/>
    <w:rsid w:val="00267897"/>
    <w:rsid w:val="002711E6"/>
    <w:rsid w:val="0027651C"/>
    <w:rsid w:val="002904C8"/>
    <w:rsid w:val="00291DBB"/>
    <w:rsid w:val="002A7293"/>
    <w:rsid w:val="002A7B29"/>
    <w:rsid w:val="002B1636"/>
    <w:rsid w:val="002C426A"/>
    <w:rsid w:val="002C4418"/>
    <w:rsid w:val="002C65DE"/>
    <w:rsid w:val="002D11B2"/>
    <w:rsid w:val="002D549A"/>
    <w:rsid w:val="002D6E69"/>
    <w:rsid w:val="002E3481"/>
    <w:rsid w:val="002F4623"/>
    <w:rsid w:val="003006F2"/>
    <w:rsid w:val="00303E94"/>
    <w:rsid w:val="00304151"/>
    <w:rsid w:val="0031503C"/>
    <w:rsid w:val="0032011A"/>
    <w:rsid w:val="00323F9D"/>
    <w:rsid w:val="003412F7"/>
    <w:rsid w:val="00342DED"/>
    <w:rsid w:val="0034322D"/>
    <w:rsid w:val="00352660"/>
    <w:rsid w:val="00353E9E"/>
    <w:rsid w:val="003557FF"/>
    <w:rsid w:val="003572A2"/>
    <w:rsid w:val="00360300"/>
    <w:rsid w:val="00366DA7"/>
    <w:rsid w:val="00373633"/>
    <w:rsid w:val="00380928"/>
    <w:rsid w:val="0038306A"/>
    <w:rsid w:val="00386B78"/>
    <w:rsid w:val="003954CE"/>
    <w:rsid w:val="00396C62"/>
    <w:rsid w:val="003C1216"/>
    <w:rsid w:val="003C3840"/>
    <w:rsid w:val="003C60B5"/>
    <w:rsid w:val="003D56E3"/>
    <w:rsid w:val="003E0261"/>
    <w:rsid w:val="003E2396"/>
    <w:rsid w:val="003E59BF"/>
    <w:rsid w:val="003E67E5"/>
    <w:rsid w:val="003E68C9"/>
    <w:rsid w:val="003F57CE"/>
    <w:rsid w:val="003F666C"/>
    <w:rsid w:val="00401998"/>
    <w:rsid w:val="004072B5"/>
    <w:rsid w:val="004128FF"/>
    <w:rsid w:val="00427966"/>
    <w:rsid w:val="004370AD"/>
    <w:rsid w:val="004407E2"/>
    <w:rsid w:val="00442A2C"/>
    <w:rsid w:val="0044399E"/>
    <w:rsid w:val="00446B25"/>
    <w:rsid w:val="004475F9"/>
    <w:rsid w:val="004562F7"/>
    <w:rsid w:val="00462051"/>
    <w:rsid w:val="00465900"/>
    <w:rsid w:val="00467415"/>
    <w:rsid w:val="00471CE5"/>
    <w:rsid w:val="004737B8"/>
    <w:rsid w:val="00482962"/>
    <w:rsid w:val="004A0BAB"/>
    <w:rsid w:val="004A1FF5"/>
    <w:rsid w:val="004B361F"/>
    <w:rsid w:val="004B5A22"/>
    <w:rsid w:val="004C16DB"/>
    <w:rsid w:val="004E1595"/>
    <w:rsid w:val="004E6244"/>
    <w:rsid w:val="004F0578"/>
    <w:rsid w:val="004F61D5"/>
    <w:rsid w:val="0050171A"/>
    <w:rsid w:val="005153FC"/>
    <w:rsid w:val="00517111"/>
    <w:rsid w:val="005246BE"/>
    <w:rsid w:val="00563FFF"/>
    <w:rsid w:val="00564F7F"/>
    <w:rsid w:val="005677B8"/>
    <w:rsid w:val="00574208"/>
    <w:rsid w:val="0057484F"/>
    <w:rsid w:val="005778EB"/>
    <w:rsid w:val="00577BCC"/>
    <w:rsid w:val="005810CA"/>
    <w:rsid w:val="005872CB"/>
    <w:rsid w:val="005960E2"/>
    <w:rsid w:val="00596453"/>
    <w:rsid w:val="005A7F37"/>
    <w:rsid w:val="005B3BE3"/>
    <w:rsid w:val="005B602E"/>
    <w:rsid w:val="005C4C5F"/>
    <w:rsid w:val="005D06FE"/>
    <w:rsid w:val="005D2709"/>
    <w:rsid w:val="005E0350"/>
    <w:rsid w:val="005E1210"/>
    <w:rsid w:val="005E46E4"/>
    <w:rsid w:val="005F03E1"/>
    <w:rsid w:val="006043A9"/>
    <w:rsid w:val="00605E23"/>
    <w:rsid w:val="00610B1B"/>
    <w:rsid w:val="00610F9A"/>
    <w:rsid w:val="0061710B"/>
    <w:rsid w:val="00617821"/>
    <w:rsid w:val="0064483D"/>
    <w:rsid w:val="00646719"/>
    <w:rsid w:val="00652D7D"/>
    <w:rsid w:val="00656C42"/>
    <w:rsid w:val="006643DC"/>
    <w:rsid w:val="006648E1"/>
    <w:rsid w:val="006703EB"/>
    <w:rsid w:val="006727F5"/>
    <w:rsid w:val="00675171"/>
    <w:rsid w:val="006825CC"/>
    <w:rsid w:val="006B20DC"/>
    <w:rsid w:val="006B2B8B"/>
    <w:rsid w:val="006B404F"/>
    <w:rsid w:val="006C49C9"/>
    <w:rsid w:val="006E2B09"/>
    <w:rsid w:val="00700F1F"/>
    <w:rsid w:val="00701A07"/>
    <w:rsid w:val="00723DE0"/>
    <w:rsid w:val="00730580"/>
    <w:rsid w:val="00732595"/>
    <w:rsid w:val="00732F78"/>
    <w:rsid w:val="007534B0"/>
    <w:rsid w:val="0075466C"/>
    <w:rsid w:val="007649A8"/>
    <w:rsid w:val="00770026"/>
    <w:rsid w:val="00774921"/>
    <w:rsid w:val="00782E65"/>
    <w:rsid w:val="007A0EEF"/>
    <w:rsid w:val="007A6AF1"/>
    <w:rsid w:val="007B2E57"/>
    <w:rsid w:val="007B5DC1"/>
    <w:rsid w:val="007B6599"/>
    <w:rsid w:val="007C7CD2"/>
    <w:rsid w:val="007D69B5"/>
    <w:rsid w:val="007D76AA"/>
    <w:rsid w:val="007E0D71"/>
    <w:rsid w:val="007E48C5"/>
    <w:rsid w:val="007E64D9"/>
    <w:rsid w:val="007F1CCD"/>
    <w:rsid w:val="007F36DF"/>
    <w:rsid w:val="007F6A8C"/>
    <w:rsid w:val="00805E51"/>
    <w:rsid w:val="00811312"/>
    <w:rsid w:val="00812324"/>
    <w:rsid w:val="00822531"/>
    <w:rsid w:val="008270DF"/>
    <w:rsid w:val="00834ABB"/>
    <w:rsid w:val="008379C2"/>
    <w:rsid w:val="00843060"/>
    <w:rsid w:val="00843FE8"/>
    <w:rsid w:val="00853B65"/>
    <w:rsid w:val="00861DA2"/>
    <w:rsid w:val="008635C0"/>
    <w:rsid w:val="0086500C"/>
    <w:rsid w:val="008656A6"/>
    <w:rsid w:val="00865C2F"/>
    <w:rsid w:val="008678A1"/>
    <w:rsid w:val="00867C47"/>
    <w:rsid w:val="00875210"/>
    <w:rsid w:val="00883703"/>
    <w:rsid w:val="00883D54"/>
    <w:rsid w:val="008869D6"/>
    <w:rsid w:val="00894437"/>
    <w:rsid w:val="00894BFB"/>
    <w:rsid w:val="00895850"/>
    <w:rsid w:val="00897D48"/>
    <w:rsid w:val="008A6901"/>
    <w:rsid w:val="008A7F65"/>
    <w:rsid w:val="008B2B02"/>
    <w:rsid w:val="008B7CB8"/>
    <w:rsid w:val="008C268F"/>
    <w:rsid w:val="008C2D50"/>
    <w:rsid w:val="008D2121"/>
    <w:rsid w:val="008D40AE"/>
    <w:rsid w:val="008E6427"/>
    <w:rsid w:val="008F141A"/>
    <w:rsid w:val="008F6D15"/>
    <w:rsid w:val="00906C6A"/>
    <w:rsid w:val="00914273"/>
    <w:rsid w:val="00926418"/>
    <w:rsid w:val="009279BF"/>
    <w:rsid w:val="00931714"/>
    <w:rsid w:val="00935271"/>
    <w:rsid w:val="0093729B"/>
    <w:rsid w:val="0094025E"/>
    <w:rsid w:val="00951002"/>
    <w:rsid w:val="00951C86"/>
    <w:rsid w:val="0095425D"/>
    <w:rsid w:val="00975588"/>
    <w:rsid w:val="0098032C"/>
    <w:rsid w:val="00987775"/>
    <w:rsid w:val="009B52B9"/>
    <w:rsid w:val="009C1445"/>
    <w:rsid w:val="009C1C90"/>
    <w:rsid w:val="009C5854"/>
    <w:rsid w:val="009D6B6B"/>
    <w:rsid w:val="009F2B37"/>
    <w:rsid w:val="009F6DA6"/>
    <w:rsid w:val="00A0048E"/>
    <w:rsid w:val="00A027B1"/>
    <w:rsid w:val="00A06124"/>
    <w:rsid w:val="00A1115E"/>
    <w:rsid w:val="00A21B8D"/>
    <w:rsid w:val="00A22908"/>
    <w:rsid w:val="00A22E04"/>
    <w:rsid w:val="00A22E1A"/>
    <w:rsid w:val="00A23224"/>
    <w:rsid w:val="00A25B84"/>
    <w:rsid w:val="00A332A8"/>
    <w:rsid w:val="00A37E24"/>
    <w:rsid w:val="00A465E0"/>
    <w:rsid w:val="00A47464"/>
    <w:rsid w:val="00A47C6F"/>
    <w:rsid w:val="00A5492F"/>
    <w:rsid w:val="00A60DC3"/>
    <w:rsid w:val="00A65484"/>
    <w:rsid w:val="00A66A82"/>
    <w:rsid w:val="00A776EF"/>
    <w:rsid w:val="00A824F8"/>
    <w:rsid w:val="00A90CB1"/>
    <w:rsid w:val="00A97C37"/>
    <w:rsid w:val="00AA4C78"/>
    <w:rsid w:val="00AB5AF6"/>
    <w:rsid w:val="00AC3E37"/>
    <w:rsid w:val="00AE79BA"/>
    <w:rsid w:val="00AF09E1"/>
    <w:rsid w:val="00AF229D"/>
    <w:rsid w:val="00AF2EBF"/>
    <w:rsid w:val="00B05D8A"/>
    <w:rsid w:val="00B06767"/>
    <w:rsid w:val="00B17857"/>
    <w:rsid w:val="00B21761"/>
    <w:rsid w:val="00B24D26"/>
    <w:rsid w:val="00B311FF"/>
    <w:rsid w:val="00B33359"/>
    <w:rsid w:val="00B33747"/>
    <w:rsid w:val="00B36891"/>
    <w:rsid w:val="00B45490"/>
    <w:rsid w:val="00B5520C"/>
    <w:rsid w:val="00B55B52"/>
    <w:rsid w:val="00B61E0B"/>
    <w:rsid w:val="00B658C4"/>
    <w:rsid w:val="00B67910"/>
    <w:rsid w:val="00B757E4"/>
    <w:rsid w:val="00B837D6"/>
    <w:rsid w:val="00B865DB"/>
    <w:rsid w:val="00B921E0"/>
    <w:rsid w:val="00BA1A44"/>
    <w:rsid w:val="00BA611B"/>
    <w:rsid w:val="00BB4F86"/>
    <w:rsid w:val="00BC4D68"/>
    <w:rsid w:val="00BE2D35"/>
    <w:rsid w:val="00BE387B"/>
    <w:rsid w:val="00BE444E"/>
    <w:rsid w:val="00BF521A"/>
    <w:rsid w:val="00C026BE"/>
    <w:rsid w:val="00C04A0A"/>
    <w:rsid w:val="00C13D09"/>
    <w:rsid w:val="00C231CF"/>
    <w:rsid w:val="00C33538"/>
    <w:rsid w:val="00C35CC1"/>
    <w:rsid w:val="00C40313"/>
    <w:rsid w:val="00C433C0"/>
    <w:rsid w:val="00C5439E"/>
    <w:rsid w:val="00C55D41"/>
    <w:rsid w:val="00C5689E"/>
    <w:rsid w:val="00C65207"/>
    <w:rsid w:val="00C67B9D"/>
    <w:rsid w:val="00C67BA5"/>
    <w:rsid w:val="00C7635F"/>
    <w:rsid w:val="00C85448"/>
    <w:rsid w:val="00C91CD1"/>
    <w:rsid w:val="00CA2453"/>
    <w:rsid w:val="00CA706C"/>
    <w:rsid w:val="00CB7C2C"/>
    <w:rsid w:val="00CC097D"/>
    <w:rsid w:val="00CC7982"/>
    <w:rsid w:val="00CD0745"/>
    <w:rsid w:val="00CD3C90"/>
    <w:rsid w:val="00CD3ED9"/>
    <w:rsid w:val="00CD6B37"/>
    <w:rsid w:val="00CE0F0A"/>
    <w:rsid w:val="00CE2B09"/>
    <w:rsid w:val="00CF3E3C"/>
    <w:rsid w:val="00CF4175"/>
    <w:rsid w:val="00D04AC4"/>
    <w:rsid w:val="00D076C9"/>
    <w:rsid w:val="00D07A21"/>
    <w:rsid w:val="00D12263"/>
    <w:rsid w:val="00D123C1"/>
    <w:rsid w:val="00D234FD"/>
    <w:rsid w:val="00D24A39"/>
    <w:rsid w:val="00D34BEF"/>
    <w:rsid w:val="00D371D3"/>
    <w:rsid w:val="00D44646"/>
    <w:rsid w:val="00D5066D"/>
    <w:rsid w:val="00D51B61"/>
    <w:rsid w:val="00D56571"/>
    <w:rsid w:val="00D64CFE"/>
    <w:rsid w:val="00D67DE0"/>
    <w:rsid w:val="00D74F66"/>
    <w:rsid w:val="00D779D3"/>
    <w:rsid w:val="00D9338F"/>
    <w:rsid w:val="00D9582C"/>
    <w:rsid w:val="00D9778C"/>
    <w:rsid w:val="00DA043A"/>
    <w:rsid w:val="00DA116C"/>
    <w:rsid w:val="00DB0B64"/>
    <w:rsid w:val="00DB353D"/>
    <w:rsid w:val="00DB419A"/>
    <w:rsid w:val="00DB4F57"/>
    <w:rsid w:val="00DB590B"/>
    <w:rsid w:val="00DB7D7F"/>
    <w:rsid w:val="00DC195F"/>
    <w:rsid w:val="00DC276A"/>
    <w:rsid w:val="00DD579A"/>
    <w:rsid w:val="00DD7ED1"/>
    <w:rsid w:val="00DE21A9"/>
    <w:rsid w:val="00DE6006"/>
    <w:rsid w:val="00DF6281"/>
    <w:rsid w:val="00E073E8"/>
    <w:rsid w:val="00E07418"/>
    <w:rsid w:val="00E11D29"/>
    <w:rsid w:val="00E1250E"/>
    <w:rsid w:val="00E14CA4"/>
    <w:rsid w:val="00E1588B"/>
    <w:rsid w:val="00E16F7F"/>
    <w:rsid w:val="00E268AD"/>
    <w:rsid w:val="00E26C05"/>
    <w:rsid w:val="00E273B9"/>
    <w:rsid w:val="00E3636B"/>
    <w:rsid w:val="00E37C9F"/>
    <w:rsid w:val="00E50284"/>
    <w:rsid w:val="00E5061C"/>
    <w:rsid w:val="00E5111B"/>
    <w:rsid w:val="00E53D01"/>
    <w:rsid w:val="00E557B8"/>
    <w:rsid w:val="00E603AD"/>
    <w:rsid w:val="00E62A63"/>
    <w:rsid w:val="00E66786"/>
    <w:rsid w:val="00E747A0"/>
    <w:rsid w:val="00E766AE"/>
    <w:rsid w:val="00E77D82"/>
    <w:rsid w:val="00E84FFB"/>
    <w:rsid w:val="00E90076"/>
    <w:rsid w:val="00EA0B22"/>
    <w:rsid w:val="00EA246B"/>
    <w:rsid w:val="00EA3454"/>
    <w:rsid w:val="00EB2390"/>
    <w:rsid w:val="00EB2786"/>
    <w:rsid w:val="00EB3D35"/>
    <w:rsid w:val="00EC4D4C"/>
    <w:rsid w:val="00ED358A"/>
    <w:rsid w:val="00ED3F41"/>
    <w:rsid w:val="00ED43BB"/>
    <w:rsid w:val="00EF1E93"/>
    <w:rsid w:val="00EF6661"/>
    <w:rsid w:val="00F02B6C"/>
    <w:rsid w:val="00F1481D"/>
    <w:rsid w:val="00F25441"/>
    <w:rsid w:val="00F259BB"/>
    <w:rsid w:val="00F30212"/>
    <w:rsid w:val="00F33643"/>
    <w:rsid w:val="00F34949"/>
    <w:rsid w:val="00F35EC6"/>
    <w:rsid w:val="00F418A5"/>
    <w:rsid w:val="00F47DE0"/>
    <w:rsid w:val="00F5116D"/>
    <w:rsid w:val="00F5146E"/>
    <w:rsid w:val="00F547C0"/>
    <w:rsid w:val="00F5673B"/>
    <w:rsid w:val="00F61718"/>
    <w:rsid w:val="00F62A6F"/>
    <w:rsid w:val="00F6410E"/>
    <w:rsid w:val="00F64C7E"/>
    <w:rsid w:val="00F7463F"/>
    <w:rsid w:val="00F74EB6"/>
    <w:rsid w:val="00F75685"/>
    <w:rsid w:val="00F80233"/>
    <w:rsid w:val="00F82982"/>
    <w:rsid w:val="00F91F93"/>
    <w:rsid w:val="00FA2CA5"/>
    <w:rsid w:val="00FA4209"/>
    <w:rsid w:val="00FB56E2"/>
    <w:rsid w:val="00FC5011"/>
    <w:rsid w:val="00FC7343"/>
    <w:rsid w:val="00FD4BD2"/>
    <w:rsid w:val="00FD54A5"/>
    <w:rsid w:val="00FD58BE"/>
    <w:rsid w:val="00FE6405"/>
    <w:rsid w:val="00FE6463"/>
    <w:rsid w:val="00FF4CAE"/>
    <w:rsid w:val="00FF5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D6743E4"/>
  <w15:chartTrackingRefBased/>
  <w15:docId w15:val="{0373D97C-08D4-46D0-9FD6-41F2CB11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before="140"/>
    </w:pPr>
    <w:rPr>
      <w:rFonts w:ascii="Times New Roman" w:hAnsi="Times New Roman"/>
      <w:sz w:val="24"/>
      <w:lang w:val="en-GB" w:eastAsia="en-US"/>
    </w:rPr>
  </w:style>
  <w:style w:type="paragraph" w:styleId="berschrift1">
    <w:name w:val="heading 1"/>
    <w:next w:val="Standard"/>
    <w:qFormat/>
    <w:pPr>
      <w:keepNext/>
      <w:spacing w:before="300" w:after="60"/>
      <w:ind w:left="450" w:hanging="450"/>
      <w:outlineLvl w:val="0"/>
    </w:pPr>
    <w:rPr>
      <w:rFonts w:ascii="Arial" w:hAnsi="Arial"/>
      <w:b/>
      <w:noProof/>
      <w:kern w:val="28"/>
      <w:sz w:val="28"/>
      <w:lang w:val="en-US" w:eastAsia="en-US"/>
    </w:rPr>
  </w:style>
  <w:style w:type="paragraph" w:styleId="berschrift2">
    <w:name w:val="heading 2"/>
    <w:next w:val="Standard"/>
    <w:qFormat/>
    <w:pPr>
      <w:keepNext/>
      <w:spacing w:before="300" w:after="60"/>
      <w:ind w:left="630" w:hanging="630"/>
      <w:outlineLvl w:val="1"/>
    </w:pPr>
    <w:rPr>
      <w:rFonts w:ascii="Arial" w:hAnsi="Arial"/>
      <w:b/>
      <w:noProof/>
      <w:sz w:val="26"/>
      <w:lang w:val="en-US" w:eastAsia="en-US"/>
    </w:rPr>
  </w:style>
  <w:style w:type="paragraph" w:styleId="berschrift3">
    <w:name w:val="heading 3"/>
    <w:next w:val="Standard"/>
    <w:qFormat/>
    <w:pPr>
      <w:keepNext/>
      <w:spacing w:before="240" w:after="60"/>
      <w:ind w:left="720" w:hanging="720"/>
      <w:outlineLvl w:val="2"/>
    </w:pPr>
    <w:rPr>
      <w:rFonts w:ascii="Arial" w:hAnsi="Arial"/>
      <w:b/>
      <w:noProof/>
      <w:sz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Aufzhlungszeichen">
    <w:name w:val="List Bullet"/>
    <w:pPr>
      <w:numPr>
        <w:numId w:val="1"/>
      </w:numPr>
      <w:spacing w:before="60" w:after="20"/>
    </w:pPr>
    <w:rPr>
      <w:rFonts w:ascii="Times New Roman" w:hAnsi="Times New Roman"/>
      <w:noProof/>
      <w:sz w:val="24"/>
      <w:lang w:val="en-US" w:eastAsia="en-US"/>
    </w:rPr>
  </w:style>
  <w:style w:type="paragraph" w:styleId="Aufzhlungszeichen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ennummer">
    <w:name w:val="List Number"/>
    <w:pPr>
      <w:numPr>
        <w:numId w:val="3"/>
      </w:numPr>
      <w:spacing w:before="60" w:after="20"/>
    </w:pPr>
    <w:rPr>
      <w:rFonts w:ascii="Times New Roman" w:hAnsi="Times New Roman"/>
      <w:noProof/>
      <w:sz w:val="24"/>
      <w:lang w:val="en-US" w:eastAsia="en-US"/>
    </w:rPr>
  </w:style>
  <w:style w:type="paragraph" w:styleId="Fuzeile">
    <w:name w:val="footer"/>
    <w:basedOn w:val="Standard"/>
    <w:pPr>
      <w:pBdr>
        <w:top w:val="single" w:sz="2" w:space="1" w:color="auto"/>
      </w:pBdr>
      <w:tabs>
        <w:tab w:val="left" w:pos="3600"/>
        <w:tab w:val="right" w:pos="8640"/>
      </w:tabs>
      <w:spacing w:before="200"/>
    </w:pPr>
    <w:rPr>
      <w:rFonts w:eastAsia="Times New Roman"/>
      <w:sz w:val="20"/>
    </w:rPr>
  </w:style>
  <w:style w:type="character" w:styleId="Seitenzahl">
    <w:name w:val="page number"/>
    <w:basedOn w:val="Absatz-Standardschriftart"/>
  </w:style>
  <w:style w:type="character" w:styleId="Kommentarzeichen">
    <w:name w:val="annotation reference"/>
    <w:semiHidden/>
    <w:rsid w:val="007D69B5"/>
    <w:rPr>
      <w:sz w:val="16"/>
      <w:szCs w:val="16"/>
    </w:rPr>
  </w:style>
  <w:style w:type="paragraph" w:customStyle="1" w:styleId="Documenttitle">
    <w:name w:val="Document title"/>
    <w:basedOn w:val="Standard"/>
    <w:pPr>
      <w:spacing w:after="280"/>
      <w:jc w:val="center"/>
    </w:pPr>
    <w:rPr>
      <w:rFonts w:ascii="Arial" w:hAnsi="Arial"/>
      <w:b/>
      <w:sz w:val="32"/>
    </w:rPr>
  </w:style>
  <w:style w:type="paragraph" w:styleId="Kommentartext">
    <w:name w:val="annotation text"/>
    <w:basedOn w:val="Standard"/>
    <w:semiHidden/>
    <w:rsid w:val="007D69B5"/>
    <w:rPr>
      <w:sz w:val="20"/>
    </w:rPr>
  </w:style>
  <w:style w:type="paragraph" w:styleId="Kommentarthema">
    <w:name w:val="annotation subject"/>
    <w:basedOn w:val="Kommentartext"/>
    <w:next w:val="Kommentartext"/>
    <w:semiHidden/>
    <w:rsid w:val="007D69B5"/>
    <w:rPr>
      <w:b/>
      <w:bCs/>
    </w:rPr>
  </w:style>
  <w:style w:type="paragraph" w:styleId="Sprechblasentext">
    <w:name w:val="Balloon Text"/>
    <w:basedOn w:val="Standard"/>
    <w:semiHidden/>
    <w:rsid w:val="007D69B5"/>
    <w:rPr>
      <w:rFonts w:ascii="Tahoma" w:hAnsi="Tahoma" w:cs="Tahoma"/>
      <w:sz w:val="16"/>
      <w:szCs w:val="16"/>
    </w:rPr>
  </w:style>
  <w:style w:type="character" w:styleId="Hyperlink">
    <w:name w:val="Hyperlink"/>
    <w:rsid w:val="0021260F"/>
    <w:rPr>
      <w:color w:val="0000FF"/>
      <w:u w:val="single"/>
    </w:rPr>
  </w:style>
  <w:style w:type="character" w:styleId="Zeilennummer">
    <w:name w:val="line number"/>
    <w:basedOn w:val="Absatz-Standardschriftart"/>
    <w:rsid w:val="00811312"/>
  </w:style>
  <w:style w:type="character" w:styleId="BesuchterLink">
    <w:name w:val="FollowedHyperlink"/>
    <w:rsid w:val="001F7DFF"/>
    <w:rPr>
      <w:color w:val="800080"/>
      <w:u w:val="single"/>
    </w:rPr>
  </w:style>
  <w:style w:type="character" w:styleId="Hervorhebung">
    <w:name w:val="Emphasis"/>
    <w:uiPriority w:val="20"/>
    <w:qFormat/>
    <w:rsid w:val="00843060"/>
    <w:rPr>
      <w:i/>
      <w:iCs/>
    </w:rPr>
  </w:style>
  <w:style w:type="paragraph" w:styleId="Listenabsatz">
    <w:name w:val="List Paragraph"/>
    <w:basedOn w:val="Standard"/>
    <w:uiPriority w:val="34"/>
    <w:qFormat/>
    <w:rsid w:val="006727F5"/>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0" w:after="240" w:line="280" w:lineRule="exact"/>
      <w:ind w:left="720"/>
      <w:contextualSpacing/>
      <w:jc w:val="both"/>
    </w:pPr>
    <w:rPr>
      <w:rFonts w:ascii="Arial" w:eastAsia="Times New Roman" w:hAnsi="Arial"/>
      <w:sz w:val="22"/>
      <w:lang w:val="de-DE" w:eastAsia="de-DE"/>
    </w:rPr>
  </w:style>
  <w:style w:type="table" w:styleId="Tabellenraster">
    <w:name w:val="Table Grid"/>
    <w:basedOn w:val="NormaleTabelle"/>
    <w:rsid w:val="00F02B6C"/>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80" w:lineRule="exact"/>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646719"/>
    <w:rPr>
      <w:b/>
      <w:bCs/>
    </w:rPr>
  </w:style>
  <w:style w:type="paragraph" w:styleId="StandardWeb">
    <w:name w:val="Normal (Web)"/>
    <w:basedOn w:val="Standard"/>
    <w:uiPriority w:val="99"/>
    <w:unhideWhenUsed/>
    <w:rsid w:val="00E90076"/>
    <w:pPr>
      <w:spacing w:before="100" w:beforeAutospacing="1" w:after="100" w:afterAutospacing="1"/>
    </w:pPr>
    <w:rPr>
      <w:rFonts w:eastAsia="Times New Roman"/>
      <w:szCs w:val="24"/>
      <w:lang w:val="de-DE" w:eastAsia="de-DE"/>
    </w:rPr>
  </w:style>
  <w:style w:type="character" w:styleId="HTMLCode">
    <w:name w:val="HTML Code"/>
    <w:uiPriority w:val="99"/>
    <w:unhideWhenUsed/>
    <w:rsid w:val="00C568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9296">
      <w:bodyDiv w:val="1"/>
      <w:marLeft w:val="0"/>
      <w:marRight w:val="0"/>
      <w:marTop w:val="0"/>
      <w:marBottom w:val="0"/>
      <w:divBdr>
        <w:top w:val="none" w:sz="0" w:space="0" w:color="auto"/>
        <w:left w:val="none" w:sz="0" w:space="0" w:color="auto"/>
        <w:bottom w:val="none" w:sz="0" w:space="0" w:color="auto"/>
        <w:right w:val="none" w:sz="0" w:space="0" w:color="auto"/>
      </w:divBdr>
    </w:div>
    <w:div w:id="60368747">
      <w:bodyDiv w:val="1"/>
      <w:marLeft w:val="0"/>
      <w:marRight w:val="0"/>
      <w:marTop w:val="0"/>
      <w:marBottom w:val="0"/>
      <w:divBdr>
        <w:top w:val="none" w:sz="0" w:space="0" w:color="auto"/>
        <w:left w:val="none" w:sz="0" w:space="0" w:color="auto"/>
        <w:bottom w:val="none" w:sz="0" w:space="0" w:color="auto"/>
        <w:right w:val="none" w:sz="0" w:space="0" w:color="auto"/>
      </w:divBdr>
    </w:div>
    <w:div w:id="75445782">
      <w:bodyDiv w:val="1"/>
      <w:marLeft w:val="0"/>
      <w:marRight w:val="0"/>
      <w:marTop w:val="0"/>
      <w:marBottom w:val="0"/>
      <w:divBdr>
        <w:top w:val="none" w:sz="0" w:space="0" w:color="auto"/>
        <w:left w:val="none" w:sz="0" w:space="0" w:color="auto"/>
        <w:bottom w:val="none" w:sz="0" w:space="0" w:color="auto"/>
        <w:right w:val="none" w:sz="0" w:space="0" w:color="auto"/>
      </w:divBdr>
    </w:div>
    <w:div w:id="162208929">
      <w:bodyDiv w:val="1"/>
      <w:marLeft w:val="0"/>
      <w:marRight w:val="0"/>
      <w:marTop w:val="0"/>
      <w:marBottom w:val="0"/>
      <w:divBdr>
        <w:top w:val="none" w:sz="0" w:space="0" w:color="auto"/>
        <w:left w:val="none" w:sz="0" w:space="0" w:color="auto"/>
        <w:bottom w:val="none" w:sz="0" w:space="0" w:color="auto"/>
        <w:right w:val="none" w:sz="0" w:space="0" w:color="auto"/>
      </w:divBdr>
    </w:div>
    <w:div w:id="165365775">
      <w:bodyDiv w:val="1"/>
      <w:marLeft w:val="0"/>
      <w:marRight w:val="0"/>
      <w:marTop w:val="0"/>
      <w:marBottom w:val="0"/>
      <w:divBdr>
        <w:top w:val="none" w:sz="0" w:space="0" w:color="auto"/>
        <w:left w:val="none" w:sz="0" w:space="0" w:color="auto"/>
        <w:bottom w:val="none" w:sz="0" w:space="0" w:color="auto"/>
        <w:right w:val="none" w:sz="0" w:space="0" w:color="auto"/>
      </w:divBdr>
    </w:div>
    <w:div w:id="459342626">
      <w:bodyDiv w:val="1"/>
      <w:marLeft w:val="0"/>
      <w:marRight w:val="0"/>
      <w:marTop w:val="0"/>
      <w:marBottom w:val="0"/>
      <w:divBdr>
        <w:top w:val="none" w:sz="0" w:space="0" w:color="auto"/>
        <w:left w:val="none" w:sz="0" w:space="0" w:color="auto"/>
        <w:bottom w:val="none" w:sz="0" w:space="0" w:color="auto"/>
        <w:right w:val="none" w:sz="0" w:space="0" w:color="auto"/>
      </w:divBdr>
    </w:div>
    <w:div w:id="610673044">
      <w:bodyDiv w:val="1"/>
      <w:marLeft w:val="0"/>
      <w:marRight w:val="0"/>
      <w:marTop w:val="0"/>
      <w:marBottom w:val="0"/>
      <w:divBdr>
        <w:top w:val="none" w:sz="0" w:space="0" w:color="auto"/>
        <w:left w:val="none" w:sz="0" w:space="0" w:color="auto"/>
        <w:bottom w:val="none" w:sz="0" w:space="0" w:color="auto"/>
        <w:right w:val="none" w:sz="0" w:space="0" w:color="auto"/>
      </w:divBdr>
    </w:div>
    <w:div w:id="626401325">
      <w:bodyDiv w:val="1"/>
      <w:marLeft w:val="0"/>
      <w:marRight w:val="0"/>
      <w:marTop w:val="0"/>
      <w:marBottom w:val="0"/>
      <w:divBdr>
        <w:top w:val="none" w:sz="0" w:space="0" w:color="auto"/>
        <w:left w:val="none" w:sz="0" w:space="0" w:color="auto"/>
        <w:bottom w:val="none" w:sz="0" w:space="0" w:color="auto"/>
        <w:right w:val="none" w:sz="0" w:space="0" w:color="auto"/>
      </w:divBdr>
    </w:div>
    <w:div w:id="1238055242">
      <w:bodyDiv w:val="1"/>
      <w:marLeft w:val="0"/>
      <w:marRight w:val="0"/>
      <w:marTop w:val="0"/>
      <w:marBottom w:val="0"/>
      <w:divBdr>
        <w:top w:val="none" w:sz="0" w:space="0" w:color="auto"/>
        <w:left w:val="none" w:sz="0" w:space="0" w:color="auto"/>
        <w:bottom w:val="none" w:sz="0" w:space="0" w:color="auto"/>
        <w:right w:val="none" w:sz="0" w:space="0" w:color="auto"/>
      </w:divBdr>
    </w:div>
    <w:div w:id="1267468519">
      <w:bodyDiv w:val="1"/>
      <w:marLeft w:val="0"/>
      <w:marRight w:val="0"/>
      <w:marTop w:val="0"/>
      <w:marBottom w:val="0"/>
      <w:divBdr>
        <w:top w:val="none" w:sz="0" w:space="0" w:color="auto"/>
        <w:left w:val="none" w:sz="0" w:space="0" w:color="auto"/>
        <w:bottom w:val="none" w:sz="0" w:space="0" w:color="auto"/>
        <w:right w:val="none" w:sz="0" w:space="0" w:color="auto"/>
      </w:divBdr>
    </w:div>
    <w:div w:id="1452357210">
      <w:bodyDiv w:val="1"/>
      <w:marLeft w:val="0"/>
      <w:marRight w:val="0"/>
      <w:marTop w:val="0"/>
      <w:marBottom w:val="0"/>
      <w:divBdr>
        <w:top w:val="none" w:sz="0" w:space="0" w:color="auto"/>
        <w:left w:val="none" w:sz="0" w:space="0" w:color="auto"/>
        <w:bottom w:val="none" w:sz="0" w:space="0" w:color="auto"/>
        <w:right w:val="none" w:sz="0" w:space="0" w:color="auto"/>
      </w:divBdr>
    </w:div>
    <w:div w:id="1485508097">
      <w:bodyDiv w:val="1"/>
      <w:marLeft w:val="0"/>
      <w:marRight w:val="0"/>
      <w:marTop w:val="0"/>
      <w:marBottom w:val="0"/>
      <w:divBdr>
        <w:top w:val="none" w:sz="0" w:space="0" w:color="auto"/>
        <w:left w:val="none" w:sz="0" w:space="0" w:color="auto"/>
        <w:bottom w:val="none" w:sz="0" w:space="0" w:color="auto"/>
        <w:right w:val="none" w:sz="0" w:space="0" w:color="auto"/>
      </w:divBdr>
    </w:div>
    <w:div w:id="1576625653">
      <w:bodyDiv w:val="1"/>
      <w:marLeft w:val="0"/>
      <w:marRight w:val="0"/>
      <w:marTop w:val="0"/>
      <w:marBottom w:val="0"/>
      <w:divBdr>
        <w:top w:val="none" w:sz="0" w:space="0" w:color="auto"/>
        <w:left w:val="none" w:sz="0" w:space="0" w:color="auto"/>
        <w:bottom w:val="none" w:sz="0" w:space="0" w:color="auto"/>
        <w:right w:val="none" w:sz="0" w:space="0" w:color="auto"/>
      </w:divBdr>
    </w:div>
    <w:div w:id="1604261067">
      <w:bodyDiv w:val="1"/>
      <w:marLeft w:val="0"/>
      <w:marRight w:val="0"/>
      <w:marTop w:val="0"/>
      <w:marBottom w:val="0"/>
      <w:divBdr>
        <w:top w:val="none" w:sz="0" w:space="0" w:color="auto"/>
        <w:left w:val="none" w:sz="0" w:space="0" w:color="auto"/>
        <w:bottom w:val="none" w:sz="0" w:space="0" w:color="auto"/>
        <w:right w:val="none" w:sz="0" w:space="0" w:color="auto"/>
      </w:divBdr>
    </w:div>
    <w:div w:id="1630745712">
      <w:bodyDiv w:val="1"/>
      <w:marLeft w:val="0"/>
      <w:marRight w:val="0"/>
      <w:marTop w:val="0"/>
      <w:marBottom w:val="0"/>
      <w:divBdr>
        <w:top w:val="none" w:sz="0" w:space="0" w:color="auto"/>
        <w:left w:val="none" w:sz="0" w:space="0" w:color="auto"/>
        <w:bottom w:val="none" w:sz="0" w:space="0" w:color="auto"/>
        <w:right w:val="none" w:sz="0" w:space="0" w:color="auto"/>
      </w:divBdr>
    </w:div>
    <w:div w:id="1900705023">
      <w:bodyDiv w:val="1"/>
      <w:marLeft w:val="0"/>
      <w:marRight w:val="0"/>
      <w:marTop w:val="0"/>
      <w:marBottom w:val="0"/>
      <w:divBdr>
        <w:top w:val="none" w:sz="0" w:space="0" w:color="auto"/>
        <w:left w:val="none" w:sz="0" w:space="0" w:color="auto"/>
        <w:bottom w:val="none" w:sz="0" w:space="0" w:color="auto"/>
        <w:right w:val="none" w:sz="0" w:space="0" w:color="auto"/>
      </w:divBdr>
    </w:div>
    <w:div w:id="1907914584">
      <w:bodyDiv w:val="1"/>
      <w:marLeft w:val="0"/>
      <w:marRight w:val="0"/>
      <w:marTop w:val="0"/>
      <w:marBottom w:val="0"/>
      <w:divBdr>
        <w:top w:val="none" w:sz="0" w:space="0" w:color="auto"/>
        <w:left w:val="none" w:sz="0" w:space="0" w:color="auto"/>
        <w:bottom w:val="none" w:sz="0" w:space="0" w:color="auto"/>
        <w:right w:val="none" w:sz="0" w:space="0" w:color="auto"/>
      </w:divBdr>
    </w:div>
    <w:div w:id="19228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rtwin.scheja@src-gmbh.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111A4-EBB4-404D-AB91-76A135749359}">
  <ds:schemaRefs>
    <ds:schemaRef ds:uri="http://schemas.microsoft.com/sharepoint/v3/contenttype/forms"/>
  </ds:schemaRefs>
</ds:datastoreItem>
</file>

<file path=customXml/itemProps2.xml><?xml version="1.0" encoding="utf-8"?>
<ds:datastoreItem xmlns:ds="http://schemas.openxmlformats.org/officeDocument/2006/customXml" ds:itemID="{9E9390FA-10ED-4E33-A436-19C689B1ED65}">
  <ds:schemaRefs>
    <ds:schemaRef ds:uri="http://schemas.microsoft.com/office/2006/documentManagement/types"/>
    <ds:schemaRef ds:uri="http://schemas.microsoft.com/office/infopath/2007/PartnerControls"/>
    <ds:schemaRef ds:uri="http://purl.org/dc/dcmitype/"/>
    <ds:schemaRef ds:uri="http://www.w3.org/XML/1998/namespace"/>
    <ds:schemaRef ds:uri="806285ac-449a-4fb1-8311-58d88e150cc7"/>
    <ds:schemaRef ds:uri="http://schemas.microsoft.com/office/2006/metadata/properties"/>
    <ds:schemaRef ds:uri="http://schemas.openxmlformats.org/package/2006/metadata/core-properties"/>
    <ds:schemaRef ds:uri="58487e4c-5d6e-4b39-a945-906c6e06729c"/>
    <ds:schemaRef ds:uri="http://purl.org/dc/terms/"/>
    <ds:schemaRef ds:uri="http://purl.org/dc/elements/1.1/"/>
  </ds:schemaRefs>
</ds:datastoreItem>
</file>

<file path=customXml/itemProps3.xml><?xml version="1.0" encoding="utf-8"?>
<ds:datastoreItem xmlns:ds="http://schemas.openxmlformats.org/officeDocument/2006/customXml" ds:itemID="{E6D58004-A7EE-4C12-806C-06E9E72A3B1D}">
  <ds:schemaRefs>
    <ds:schemaRef ds:uri="http://schemas.microsoft.com/sharepoint/events"/>
  </ds:schemaRefs>
</ds:datastoreItem>
</file>

<file path=customXml/itemProps4.xml><?xml version="1.0" encoding="utf-8"?>
<ds:datastoreItem xmlns:ds="http://schemas.openxmlformats.org/officeDocument/2006/customXml" ds:itemID="{4B272B47-1B65-46FC-86B6-BFFD3F5873AF}">
  <ds:schemaRefs>
    <ds:schemaRef ds:uri="http://schemas.microsoft.com/office/2006/metadata/longProperties"/>
  </ds:schemaRefs>
</ds:datastoreItem>
</file>

<file path=customXml/itemProps5.xml><?xml version="1.0" encoding="utf-8"?>
<ds:datastoreItem xmlns:ds="http://schemas.openxmlformats.org/officeDocument/2006/customXml" ds:itemID="{CACBB181-4429-4A46-8F70-B8C767E26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13782</Characters>
  <Application>Microsoft Office Word</Application>
  <DocSecurity>0</DocSecurity>
  <Lines>114</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Business Justification for API Resources Definitions</vt:lpstr>
      <vt:lpstr>Business Justification for API Resources Definitions</vt:lpstr>
    </vt:vector>
  </TitlesOfParts>
  <Company>ISO 20022 RA</Company>
  <LinksUpToDate>false</LinksUpToDate>
  <CharactersWithSpaces>16049</CharactersWithSpaces>
  <SharedDoc>false</SharedDoc>
  <HLinks>
    <vt:vector size="12" baseType="variant">
      <vt:variant>
        <vt:i4>458798</vt:i4>
      </vt:variant>
      <vt:variant>
        <vt:i4>3</vt:i4>
      </vt:variant>
      <vt:variant>
        <vt:i4>0</vt:i4>
      </vt:variant>
      <vt:variant>
        <vt:i4>5</vt:i4>
      </vt:variant>
      <vt:variant>
        <vt:lpwstr>mailto:ortwin.scheja@src-gmbh.de</vt:lpwstr>
      </vt:variant>
      <vt:variant>
        <vt:lpwstr/>
      </vt:variant>
      <vt:variant>
        <vt:i4>458798</vt:i4>
      </vt:variant>
      <vt:variant>
        <vt:i4>0</vt:i4>
      </vt:variant>
      <vt:variant>
        <vt:i4>0</vt:i4>
      </vt:variant>
      <vt:variant>
        <vt:i4>5</vt:i4>
      </vt:variant>
      <vt:variant>
        <vt:lpwstr>mailto:ortwin.scheja@src-gmbh.de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Humberg, Niklas</dc:creator>
  <cp:keywords/>
  <cp:lastModifiedBy>Scheja, Dr. Ortwin</cp:lastModifiedBy>
  <cp:revision>4</cp:revision>
  <cp:lastPrinted>2025-05-26T11:56:00Z</cp:lastPrinted>
  <dcterms:created xsi:type="dcterms:W3CDTF">2025-05-26T11:55:00Z</dcterms:created>
  <dcterms:modified xsi:type="dcterms:W3CDTF">2025-05-26T11:56:00Z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0x0101009AD37D8CFF51754F94AB0C9B068CA876</vt:lpwstr>
  </property>
  <property fmtid="{D5CDD505-2E9C-101B-9397-08002B2CF9AE}" pid="18" name="_dlc_DocIdUrl">
    <vt:lpwstr>https://swiftcorp.sharepoint.com/sites/ps-ow-standards team/_layouts/15/DocIdRedir.aspx?ID=MSKTH6SNCJSU-1733716329-16692, MSKTH6SNCJSU-1733716329-16692</vt:lpwstr>
  </property>
</Properties>
</file>