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0D309" w14:textId="77777777" w:rsidR="00865C2F" w:rsidRPr="00865C2F" w:rsidRDefault="00865C2F" w:rsidP="005D2709">
      <w:pPr>
        <w:suppressLineNumbers/>
        <w:jc w:val="center"/>
        <w:rPr>
          <w:b/>
          <w:smallCaps/>
          <w:szCs w:val="24"/>
          <w:lang w:val="en-GB"/>
        </w:rPr>
      </w:pPr>
      <w:r w:rsidRPr="00865C2F">
        <w:rPr>
          <w:b/>
          <w:smallCaps/>
          <w:szCs w:val="24"/>
          <w:lang w:val="en-GB"/>
        </w:rPr>
        <w:t>Business Justification</w:t>
      </w:r>
    </w:p>
    <w:p w14:paraId="057CBB04"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1D1F4B84" w14:textId="77777777" w:rsidR="00577BCC" w:rsidRDefault="00865C2F" w:rsidP="005D2709">
      <w:pPr>
        <w:suppressLineNumbers/>
        <w:rPr>
          <w:i/>
          <w:szCs w:val="24"/>
          <w:lang w:val="en-GB"/>
        </w:rPr>
      </w:pPr>
      <w:r>
        <w:rPr>
          <w:i/>
          <w:szCs w:val="24"/>
          <w:lang w:val="en-GB"/>
        </w:rPr>
        <w:t xml:space="preserve">Note: the purpose of this document is to give guidelines to </w:t>
      </w:r>
      <w:r w:rsidR="001F7568">
        <w:rPr>
          <w:i/>
          <w:szCs w:val="24"/>
          <w:lang w:val="en-GB"/>
        </w:rPr>
        <w:t>organisation</w:t>
      </w:r>
      <w:r>
        <w:rPr>
          <w:i/>
          <w:szCs w:val="24"/>
          <w:lang w:val="en-GB"/>
        </w:rPr>
        <w:t xml:space="preserve">s that want to </w:t>
      </w:r>
      <w:r w:rsidR="00A5492F">
        <w:rPr>
          <w:i/>
          <w:szCs w:val="24"/>
          <w:lang w:val="en-GB"/>
        </w:rPr>
        <w:t xml:space="preserve">develop </w:t>
      </w:r>
      <w:r>
        <w:rPr>
          <w:i/>
          <w:szCs w:val="24"/>
          <w:lang w:val="en-GB"/>
        </w:rPr>
        <w:t xml:space="preserve">new </w:t>
      </w:r>
      <w:r w:rsidR="00A5492F">
        <w:rPr>
          <w:i/>
          <w:szCs w:val="24"/>
          <w:lang w:val="en-GB"/>
        </w:rPr>
        <w:t xml:space="preserve">candidate </w:t>
      </w:r>
      <w:r w:rsidR="003E68C9">
        <w:rPr>
          <w:i/>
          <w:szCs w:val="24"/>
          <w:lang w:val="en-GB"/>
        </w:rPr>
        <w:t>ISO 20022</w:t>
      </w:r>
      <w:r w:rsidR="004E6244">
        <w:rPr>
          <w:i/>
          <w:szCs w:val="24"/>
          <w:lang w:val="en-GB"/>
        </w:rPr>
        <w:t xml:space="preserve"> m</w:t>
      </w:r>
      <w:r w:rsidR="00352660">
        <w:rPr>
          <w:i/>
          <w:szCs w:val="24"/>
          <w:lang w:val="en-GB"/>
        </w:rPr>
        <w:t>essage definitions</w:t>
      </w:r>
      <w:r>
        <w:rPr>
          <w:i/>
          <w:szCs w:val="24"/>
          <w:lang w:val="en-GB"/>
        </w:rPr>
        <w:t>.</w:t>
      </w:r>
      <w:r w:rsidR="00A5492F">
        <w:rPr>
          <w:i/>
          <w:szCs w:val="24"/>
          <w:lang w:val="en-GB"/>
        </w:rPr>
        <w:t xml:space="preserve"> Such requests are subject to the approval of a business justification</w:t>
      </w:r>
      <w:r w:rsidR="007D76AA">
        <w:rPr>
          <w:i/>
          <w:szCs w:val="24"/>
          <w:lang w:val="en-GB"/>
        </w:rPr>
        <w:t xml:space="preserve"> by</w:t>
      </w:r>
      <w:r w:rsidR="00A5492F">
        <w:rPr>
          <w:i/>
          <w:szCs w:val="24"/>
          <w:lang w:val="en-GB"/>
        </w:rPr>
        <w:t xml:space="preserve"> </w:t>
      </w:r>
      <w:r w:rsidR="007D76AA">
        <w:rPr>
          <w:i/>
          <w:szCs w:val="24"/>
          <w:lang w:val="en-GB"/>
        </w:rPr>
        <w:t xml:space="preserve">the </w:t>
      </w:r>
      <w:r w:rsidR="003E68C9">
        <w:rPr>
          <w:i/>
          <w:szCs w:val="24"/>
          <w:lang w:val="en-GB"/>
        </w:rPr>
        <w:t>ISO 20022</w:t>
      </w:r>
      <w:r w:rsidR="007D76AA">
        <w:rPr>
          <w:i/>
          <w:szCs w:val="24"/>
          <w:lang w:val="en-GB"/>
        </w:rPr>
        <w:t xml:space="preserve"> Registration Management Group (RMG). </w:t>
      </w:r>
      <w:r w:rsidR="001F7DFF">
        <w:rPr>
          <w:i/>
          <w:szCs w:val="24"/>
          <w:lang w:val="en-GB"/>
        </w:rPr>
        <w:t xml:space="preserve">Please consult the iso20022.org website for additional details on </w:t>
      </w:r>
      <w:hyperlink r:id="rId7" w:history="1">
        <w:r w:rsidR="001F7DFF" w:rsidRPr="001C1E08">
          <w:rPr>
            <w:rStyle w:val="Hyperlink"/>
            <w:i/>
            <w:szCs w:val="24"/>
            <w:lang w:val="en-GB"/>
          </w:rPr>
          <w:t>the</w:t>
        </w:r>
        <w:r w:rsidR="001C1E08" w:rsidRPr="001C1E08">
          <w:rPr>
            <w:rStyle w:val="Hyperlink"/>
            <w:i/>
            <w:szCs w:val="24"/>
            <w:lang w:val="en-GB"/>
          </w:rPr>
          <w:t xml:space="preserve"> registration process</w:t>
        </w:r>
      </w:hyperlink>
      <w:r w:rsidR="001F7DFF" w:rsidRPr="001F7DFF">
        <w:rPr>
          <w:i/>
          <w:szCs w:val="24"/>
          <w:lang w:val="en-GB"/>
        </w:rPr>
        <w:t xml:space="preserve">. </w:t>
      </w:r>
      <w:r w:rsidR="007D76AA" w:rsidRPr="001F7DFF">
        <w:rPr>
          <w:i/>
          <w:szCs w:val="24"/>
          <w:lang w:val="en-GB"/>
        </w:rPr>
        <w:t>The</w:t>
      </w:r>
      <w:r w:rsidR="007D76AA">
        <w:rPr>
          <w:i/>
          <w:szCs w:val="24"/>
          <w:lang w:val="en-GB"/>
        </w:rPr>
        <w:t xml:space="preserve"> business justification </w:t>
      </w:r>
      <w:r w:rsidR="00A5492F">
        <w:rPr>
          <w:i/>
          <w:szCs w:val="24"/>
          <w:lang w:val="en-GB"/>
        </w:rPr>
        <w:t>must include the following captions, as described.</w:t>
      </w:r>
    </w:p>
    <w:p w14:paraId="54A0D03B" w14:textId="77777777" w:rsidR="00732F78" w:rsidRPr="000A2163" w:rsidRDefault="000A2163" w:rsidP="005D2709">
      <w:pPr>
        <w:suppressLineNumbers/>
        <w:rPr>
          <w:i/>
          <w:szCs w:val="24"/>
          <w:lang w:val="en-GB"/>
        </w:rPr>
      </w:pPr>
      <w:r w:rsidRPr="000A2163">
        <w:rPr>
          <w:i/>
          <w:szCs w:val="24"/>
          <w:lang w:val="en-GB"/>
        </w:rPr>
        <w:t>Business justifications</w:t>
      </w:r>
      <w:r w:rsidRPr="000A2163">
        <w:rPr>
          <w:rStyle w:val="Emphasis"/>
        </w:rPr>
        <w:t xml:space="preserve"> are to be submitted through the ISO 20022 website through following </w:t>
      </w:r>
      <w:hyperlink r:id="rId8" w:history="1">
        <w:r w:rsidRPr="000A2163">
          <w:rPr>
            <w:rStyle w:val="Hyperlink"/>
            <w:i/>
            <w:iCs/>
          </w:rPr>
          <w:t>e-request</w:t>
        </w:r>
      </w:hyperlink>
      <w:r>
        <w:rPr>
          <w:rStyle w:val="Emphasis"/>
        </w:rPr>
        <w:t>,</w:t>
      </w:r>
      <w:r w:rsidRPr="000A2163">
        <w:rPr>
          <w:rStyle w:val="Emphasis"/>
        </w:rPr>
        <w:t xml:space="preserve"> in which this template must be attached.</w:t>
      </w:r>
    </w:p>
    <w:p w14:paraId="38615A00" w14:textId="77777777" w:rsidR="00865C2F" w:rsidRDefault="00D123C1" w:rsidP="003F666C">
      <w:pPr>
        <w:numPr>
          <w:ilvl w:val="0"/>
          <w:numId w:val="8"/>
        </w:numPr>
        <w:suppressLineNumbers/>
        <w:rPr>
          <w:b/>
          <w:szCs w:val="24"/>
          <w:lang w:val="en-GB"/>
        </w:rPr>
      </w:pPr>
      <w:r>
        <w:rPr>
          <w:b/>
          <w:szCs w:val="24"/>
          <w:lang w:val="en-GB"/>
        </w:rPr>
        <w:t>Name of the request:</w:t>
      </w:r>
    </w:p>
    <w:p w14:paraId="09C6816D" w14:textId="6495E4C2" w:rsidR="00101212" w:rsidRPr="00574ECE" w:rsidRDefault="00574ECE" w:rsidP="00574ECE">
      <w:pPr>
        <w:suppressLineNumbers/>
        <w:ind w:firstLine="720"/>
        <w:rPr>
          <w:b/>
          <w:bCs/>
          <w:szCs w:val="24"/>
          <w:lang w:val="en-GB"/>
        </w:rPr>
      </w:pPr>
      <w:r w:rsidRPr="00574ECE">
        <w:rPr>
          <w:b/>
          <w:bCs/>
          <w:szCs w:val="24"/>
          <w:lang w:val="en-GB"/>
        </w:rPr>
        <w:t>“Order Book Data Exchange”</w:t>
      </w:r>
      <w:r w:rsidR="00D56571" w:rsidRPr="00574ECE">
        <w:rPr>
          <w:b/>
          <w:bCs/>
          <w:szCs w:val="24"/>
          <w:lang w:val="en-GB"/>
        </w:rPr>
        <w:t xml:space="preserve"> </w:t>
      </w:r>
    </w:p>
    <w:p w14:paraId="1F5FFAC2" w14:textId="77777777"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008A7F65">
        <w:rPr>
          <w:b/>
          <w:szCs w:val="24"/>
          <w:lang w:val="en-GB"/>
        </w:rPr>
        <w:t>(s)</w:t>
      </w:r>
      <w:r w:rsidRPr="00F30A29">
        <w:rPr>
          <w:b/>
          <w:szCs w:val="24"/>
          <w:lang w:val="en-GB"/>
        </w:rPr>
        <w:t>:</w:t>
      </w:r>
    </w:p>
    <w:p w14:paraId="402394E1" w14:textId="6E8FF79E" w:rsidR="00D123C1" w:rsidRDefault="00574ECE" w:rsidP="00574ECE">
      <w:pPr>
        <w:suppressLineNumbers/>
        <w:ind w:left="720"/>
        <w:rPr>
          <w:szCs w:val="24"/>
          <w:lang w:val="en-GB"/>
        </w:rPr>
      </w:pPr>
      <w:r w:rsidRPr="00574ECE">
        <w:rPr>
          <w:szCs w:val="24"/>
          <w:lang w:val="en-GB"/>
        </w:rPr>
        <w:t>European Securities and Markets Authority (ESMA)</w:t>
      </w:r>
      <w:r>
        <w:rPr>
          <w:szCs w:val="24"/>
          <w:lang w:val="en-GB"/>
        </w:rPr>
        <w:br/>
      </w:r>
      <w:r w:rsidRPr="00574ECE">
        <w:rPr>
          <w:szCs w:val="24"/>
          <w:lang w:val="en-GB"/>
        </w:rPr>
        <w:t xml:space="preserve">201-203 rue de </w:t>
      </w:r>
      <w:proofErr w:type="spellStart"/>
      <w:r w:rsidRPr="00574ECE">
        <w:rPr>
          <w:szCs w:val="24"/>
          <w:lang w:val="en-GB"/>
        </w:rPr>
        <w:t>Bercy</w:t>
      </w:r>
      <w:proofErr w:type="spellEnd"/>
      <w:r>
        <w:rPr>
          <w:szCs w:val="24"/>
          <w:lang w:val="en-GB"/>
        </w:rPr>
        <w:br/>
      </w:r>
      <w:r w:rsidRPr="00574ECE">
        <w:rPr>
          <w:szCs w:val="24"/>
          <w:lang w:val="en-GB"/>
        </w:rPr>
        <w:t>75012 Paris</w:t>
      </w:r>
      <w:r>
        <w:rPr>
          <w:szCs w:val="24"/>
          <w:lang w:val="en-GB"/>
        </w:rPr>
        <w:br/>
      </w:r>
      <w:r w:rsidRPr="00574ECE">
        <w:rPr>
          <w:szCs w:val="24"/>
          <w:lang w:val="en-GB"/>
        </w:rPr>
        <w:t>France</w:t>
      </w:r>
    </w:p>
    <w:p w14:paraId="3013629E" w14:textId="7370823F" w:rsidR="00865C2F" w:rsidRPr="0038029C"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14A27E81" w14:textId="6A3DC8FB" w:rsidR="0038029C" w:rsidRPr="0038029C" w:rsidRDefault="0038029C" w:rsidP="0038029C">
      <w:pPr>
        <w:rPr>
          <w:rStyle w:val="Strong"/>
        </w:rPr>
      </w:pPr>
      <w:r w:rsidRPr="0038029C">
        <w:rPr>
          <w:rStyle w:val="Strong"/>
        </w:rPr>
        <w:t>Background</w:t>
      </w:r>
    </w:p>
    <w:p w14:paraId="38DBE784" w14:textId="77777777" w:rsidR="0038029C" w:rsidRPr="0038029C" w:rsidRDefault="0038029C" w:rsidP="0038029C">
      <w:pPr>
        <w:suppressLineNumbers/>
        <w:rPr>
          <w:szCs w:val="24"/>
          <w:lang w:val="en-GB"/>
        </w:rPr>
      </w:pPr>
      <w:r w:rsidRPr="0038029C">
        <w:rPr>
          <w:szCs w:val="24"/>
          <w:lang w:val="en-GB"/>
        </w:rPr>
        <w:t xml:space="preserve">During the November 2015 meeting, members of MDSC discussed the issue of order data access and exchange under </w:t>
      </w:r>
      <w:proofErr w:type="spellStart"/>
      <w:r w:rsidRPr="0038029C">
        <w:rPr>
          <w:szCs w:val="24"/>
          <w:lang w:val="en-GB"/>
        </w:rPr>
        <w:t>MiFIR</w:t>
      </w:r>
      <w:proofErr w:type="spellEnd"/>
      <w:r w:rsidRPr="0038029C">
        <w:rPr>
          <w:szCs w:val="24"/>
          <w:lang w:val="en-GB"/>
        </w:rPr>
        <w:t xml:space="preserve"> Article 25(2). At that meeting it was concluded that priority should be given to the preparatory work for transaction reporting and this issue should be considered </w:t>
      </w:r>
      <w:proofErr w:type="gramStart"/>
      <w:r w:rsidRPr="0038029C">
        <w:rPr>
          <w:szCs w:val="24"/>
          <w:lang w:val="en-GB"/>
        </w:rPr>
        <w:t>later on</w:t>
      </w:r>
      <w:proofErr w:type="gramEnd"/>
      <w:r w:rsidRPr="0038029C">
        <w:rPr>
          <w:szCs w:val="24"/>
          <w:lang w:val="en-GB"/>
        </w:rPr>
        <w:t xml:space="preserve">. Members of MDSC resumed the discussion on the preparation for the implementation of </w:t>
      </w:r>
      <w:proofErr w:type="spellStart"/>
      <w:r w:rsidRPr="0038029C">
        <w:rPr>
          <w:szCs w:val="24"/>
          <w:lang w:val="en-GB"/>
        </w:rPr>
        <w:t>MiFIR</w:t>
      </w:r>
      <w:proofErr w:type="spellEnd"/>
      <w:r w:rsidRPr="0038029C">
        <w:rPr>
          <w:szCs w:val="24"/>
          <w:lang w:val="en-GB"/>
        </w:rPr>
        <w:t xml:space="preserve"> Article 25(2) in September 2016.</w:t>
      </w:r>
    </w:p>
    <w:p w14:paraId="674D85D2" w14:textId="77777777" w:rsidR="0038029C" w:rsidRPr="0038029C" w:rsidRDefault="0038029C" w:rsidP="0038029C">
      <w:pPr>
        <w:suppressLineNumbers/>
        <w:rPr>
          <w:szCs w:val="24"/>
          <w:lang w:val="en-GB"/>
        </w:rPr>
      </w:pPr>
      <w:r w:rsidRPr="0038029C">
        <w:rPr>
          <w:szCs w:val="24"/>
          <w:lang w:val="en-GB"/>
        </w:rPr>
        <w:t xml:space="preserve">At the September 2016 meeting, MDSC agreed that more clarity on the legal framework was needed before a new system for the exchange of order data can be developed. It was agreed that ESMA Legal should be involved in the assessment of the requirements under Article 25(2) </w:t>
      </w:r>
      <w:proofErr w:type="gramStart"/>
      <w:r w:rsidRPr="0038029C">
        <w:rPr>
          <w:szCs w:val="24"/>
          <w:lang w:val="en-GB"/>
        </w:rPr>
        <w:t>on the basis of</w:t>
      </w:r>
      <w:proofErr w:type="gramEnd"/>
      <w:r w:rsidRPr="0038029C">
        <w:rPr>
          <w:szCs w:val="24"/>
          <w:lang w:val="en-GB"/>
        </w:rPr>
        <w:t xml:space="preserve"> key questions identified by MDSC in cooperation with MISC.</w:t>
      </w:r>
    </w:p>
    <w:p w14:paraId="2413C573" w14:textId="77777777" w:rsidR="0038029C" w:rsidRPr="0038029C" w:rsidRDefault="0038029C" w:rsidP="0038029C">
      <w:pPr>
        <w:suppressLineNumbers/>
        <w:rPr>
          <w:szCs w:val="24"/>
          <w:lang w:val="en-GB"/>
        </w:rPr>
      </w:pPr>
      <w:r w:rsidRPr="0038029C">
        <w:rPr>
          <w:szCs w:val="24"/>
          <w:lang w:val="en-GB"/>
        </w:rPr>
        <w:t xml:space="preserve">At a meeting in 2017, a MISC/MDSC note defining the outstanding legal questions that would set the boundaries of possible arrangements for the exchange of order data was reviewed by ESMA’s legal departments and approved by both committees. </w:t>
      </w:r>
    </w:p>
    <w:p w14:paraId="258A7F6E" w14:textId="77777777" w:rsidR="0038029C" w:rsidRPr="0038029C" w:rsidRDefault="0038029C" w:rsidP="0038029C">
      <w:pPr>
        <w:suppressLineNumbers/>
        <w:rPr>
          <w:szCs w:val="24"/>
          <w:lang w:val="en-GB"/>
        </w:rPr>
      </w:pPr>
      <w:r w:rsidRPr="0038029C">
        <w:rPr>
          <w:szCs w:val="24"/>
          <w:lang w:val="en-GB"/>
        </w:rPr>
        <w:t xml:space="preserve">During the DSC in May 2021, AFM presented a new project. An informal working group was established by interested NCAs with the aim to study and set up a mechanism for order book data exchange. AFM, AMF, DFSA, FIN FSA and FSMA are part of this group.  </w:t>
      </w:r>
    </w:p>
    <w:p w14:paraId="2ECD4A27" w14:textId="5F5431FA" w:rsidR="0038029C" w:rsidRPr="0038029C" w:rsidRDefault="0038029C" w:rsidP="0038029C">
      <w:pPr>
        <w:rPr>
          <w:b/>
          <w:bCs/>
          <w:lang w:val="en-GB"/>
        </w:rPr>
      </w:pPr>
      <w:r w:rsidRPr="0038029C">
        <w:rPr>
          <w:b/>
          <w:bCs/>
          <w:lang w:val="en-GB"/>
        </w:rPr>
        <w:t>Scope:</w:t>
      </w:r>
    </w:p>
    <w:p w14:paraId="7C12F960" w14:textId="77777777" w:rsidR="00574ECE" w:rsidRPr="00574ECE" w:rsidRDefault="00574ECE" w:rsidP="00574ECE">
      <w:pPr>
        <w:suppressLineNumbers/>
        <w:rPr>
          <w:szCs w:val="24"/>
          <w:lang w:val="en-GB"/>
        </w:rPr>
      </w:pPr>
      <w:r w:rsidRPr="00574ECE">
        <w:rPr>
          <w:szCs w:val="24"/>
          <w:lang w:val="en-GB"/>
        </w:rPr>
        <w:t xml:space="preserve">This new development is based on </w:t>
      </w:r>
    </w:p>
    <w:p w14:paraId="3761152B" w14:textId="38280853" w:rsidR="00574ECE" w:rsidRPr="00574ECE" w:rsidRDefault="00574ECE" w:rsidP="00574ECE">
      <w:pPr>
        <w:suppressLineNumbers/>
        <w:rPr>
          <w:szCs w:val="24"/>
          <w:lang w:val="en-GB"/>
        </w:rPr>
      </w:pPr>
      <w:r w:rsidRPr="00574ECE">
        <w:rPr>
          <w:szCs w:val="24"/>
          <w:lang w:val="en-GB"/>
        </w:rPr>
        <w:t>Regulation (EU) No 600/2014 of the parliament and the of the council of 15 May 2014 on markets in financial instruments and amending Regulation (EU) No 648/2012 amended by:</w:t>
      </w:r>
    </w:p>
    <w:p w14:paraId="2275F6CD" w14:textId="74463305" w:rsidR="00574ECE" w:rsidRPr="00574ECE" w:rsidRDefault="00574ECE" w:rsidP="00574ECE">
      <w:pPr>
        <w:numPr>
          <w:ilvl w:val="0"/>
          <w:numId w:val="14"/>
        </w:numPr>
        <w:suppressLineNumbers/>
        <w:spacing w:before="0"/>
        <w:rPr>
          <w:szCs w:val="24"/>
          <w:lang w:val="en-GB"/>
        </w:rPr>
      </w:pPr>
      <w:r w:rsidRPr="00574ECE">
        <w:rPr>
          <w:szCs w:val="24"/>
          <w:lang w:val="en-GB"/>
        </w:rPr>
        <w:t>Regulation (EU) 2016/1033 of the European Parliament and of the Council of 23 June 2016</w:t>
      </w:r>
    </w:p>
    <w:p w14:paraId="2289EAB2" w14:textId="59715B92" w:rsidR="00574ECE" w:rsidRPr="00574ECE" w:rsidRDefault="00574ECE" w:rsidP="00574ECE">
      <w:pPr>
        <w:numPr>
          <w:ilvl w:val="0"/>
          <w:numId w:val="14"/>
        </w:numPr>
        <w:suppressLineNumbers/>
        <w:spacing w:before="0"/>
        <w:rPr>
          <w:szCs w:val="24"/>
          <w:lang w:val="en-GB"/>
        </w:rPr>
      </w:pPr>
      <w:r w:rsidRPr="00574ECE">
        <w:rPr>
          <w:szCs w:val="24"/>
          <w:lang w:val="en-GB"/>
        </w:rPr>
        <w:t>Regulation (EU) 2019/2033 of the European Parliament and of the Council of 27 November 2019</w:t>
      </w:r>
    </w:p>
    <w:p w14:paraId="1FFD6870" w14:textId="6C94DA0C" w:rsidR="00574ECE" w:rsidRPr="00574ECE" w:rsidRDefault="00574ECE" w:rsidP="00574ECE">
      <w:pPr>
        <w:numPr>
          <w:ilvl w:val="0"/>
          <w:numId w:val="14"/>
        </w:numPr>
        <w:suppressLineNumbers/>
        <w:spacing w:before="0"/>
        <w:rPr>
          <w:szCs w:val="24"/>
          <w:lang w:val="en-GB"/>
        </w:rPr>
      </w:pPr>
      <w:r w:rsidRPr="00574ECE">
        <w:rPr>
          <w:szCs w:val="24"/>
          <w:lang w:val="en-GB"/>
        </w:rPr>
        <w:lastRenderedPageBreak/>
        <w:t>Regulation (EU) 2019/2175 of the European Parliament and of the Council of 18 December 2019</w:t>
      </w:r>
    </w:p>
    <w:p w14:paraId="579C45E3" w14:textId="6BA1C2D1" w:rsidR="00574ECE" w:rsidRPr="00574ECE" w:rsidRDefault="00574ECE" w:rsidP="00574ECE">
      <w:pPr>
        <w:numPr>
          <w:ilvl w:val="0"/>
          <w:numId w:val="14"/>
        </w:numPr>
        <w:suppressLineNumbers/>
        <w:spacing w:before="0"/>
        <w:rPr>
          <w:szCs w:val="24"/>
          <w:lang w:val="en-GB"/>
        </w:rPr>
      </w:pPr>
      <w:r w:rsidRPr="00574ECE">
        <w:rPr>
          <w:szCs w:val="24"/>
          <w:lang w:val="en-GB"/>
        </w:rPr>
        <w:t>Regulation (EU) 2021/23 of the European Parliament and of the Council of 16 December 2020</w:t>
      </w:r>
    </w:p>
    <w:p w14:paraId="13829757" w14:textId="77777777" w:rsidR="00574ECE" w:rsidRPr="00574ECE" w:rsidRDefault="00574ECE" w:rsidP="00574ECE">
      <w:pPr>
        <w:suppressLineNumbers/>
        <w:rPr>
          <w:szCs w:val="24"/>
          <w:lang w:val="en-GB"/>
        </w:rPr>
      </w:pPr>
      <w:r w:rsidRPr="00574ECE">
        <w:rPr>
          <w:szCs w:val="24"/>
          <w:lang w:val="en-GB"/>
        </w:rPr>
        <w:t xml:space="preserve">and </w:t>
      </w:r>
      <w:proofErr w:type="gramStart"/>
      <w:r w:rsidRPr="00574ECE">
        <w:rPr>
          <w:szCs w:val="24"/>
          <w:lang w:val="en-GB"/>
        </w:rPr>
        <w:t>specifically</w:t>
      </w:r>
      <w:proofErr w:type="gramEnd"/>
      <w:r w:rsidRPr="00574ECE">
        <w:rPr>
          <w:szCs w:val="24"/>
          <w:lang w:val="en-GB"/>
        </w:rPr>
        <w:t xml:space="preserve"> to </w:t>
      </w:r>
    </w:p>
    <w:p w14:paraId="2908347A" w14:textId="77777777" w:rsidR="00574ECE" w:rsidRPr="00574ECE" w:rsidRDefault="00574ECE" w:rsidP="00574ECE">
      <w:pPr>
        <w:suppressLineNumbers/>
        <w:rPr>
          <w:b/>
          <w:bCs/>
          <w:i/>
          <w:iCs/>
          <w:szCs w:val="24"/>
          <w:lang w:val="en-GB"/>
        </w:rPr>
      </w:pPr>
      <w:r w:rsidRPr="00574ECE">
        <w:rPr>
          <w:b/>
          <w:bCs/>
          <w:i/>
          <w:iCs/>
          <w:szCs w:val="24"/>
          <w:lang w:val="en-GB"/>
        </w:rPr>
        <w:t xml:space="preserve">Article 25 (Obligation to maintain records) </w:t>
      </w:r>
    </w:p>
    <w:p w14:paraId="222713E7" w14:textId="77777777" w:rsidR="00574ECE" w:rsidRPr="00574ECE" w:rsidRDefault="00574ECE" w:rsidP="00574ECE">
      <w:pPr>
        <w:suppressLineNumbers/>
        <w:rPr>
          <w:i/>
          <w:iCs/>
          <w:szCs w:val="24"/>
          <w:lang w:val="en-GB"/>
        </w:rPr>
      </w:pPr>
      <w:r w:rsidRPr="00574ECE">
        <w:rPr>
          <w:i/>
          <w:iCs/>
          <w:szCs w:val="24"/>
          <w:lang w:val="en-GB"/>
        </w:rPr>
        <w:t xml:space="preserve">2. The operator of a trading venue shall keep at the disposal of the competent authority, for at least five years, the relevant data relating to all orders in financial instruments which are advertised through their systems. The records shall contain the relevant data that constitute the characteristics of the order, including those that link an order with the executed transaction(s) that stems from that order and the details of which shall be reported in accordance with Article 26(1) and (3).  </w:t>
      </w:r>
    </w:p>
    <w:p w14:paraId="59C7B830" w14:textId="77777777" w:rsidR="00574ECE" w:rsidRPr="00574ECE" w:rsidRDefault="00574ECE" w:rsidP="00574ECE">
      <w:pPr>
        <w:suppressLineNumbers/>
        <w:rPr>
          <w:i/>
          <w:iCs/>
          <w:szCs w:val="24"/>
          <w:lang w:val="en-GB"/>
        </w:rPr>
      </w:pPr>
      <w:r w:rsidRPr="00574ECE">
        <w:rPr>
          <w:i/>
          <w:iCs/>
          <w:szCs w:val="24"/>
          <w:lang w:val="en-GB"/>
        </w:rPr>
        <w:t>ESMA shall perform a facilitation and coordination role in relation to the access by competent authorities to information under this paragraph.</w:t>
      </w:r>
    </w:p>
    <w:p w14:paraId="24FC1D35" w14:textId="77777777" w:rsidR="00574ECE" w:rsidRPr="00574ECE" w:rsidRDefault="00574ECE" w:rsidP="00574ECE">
      <w:pPr>
        <w:suppressLineNumbers/>
        <w:rPr>
          <w:i/>
          <w:iCs/>
          <w:szCs w:val="24"/>
          <w:lang w:val="en-GB"/>
        </w:rPr>
      </w:pPr>
      <w:r w:rsidRPr="00574ECE">
        <w:rPr>
          <w:i/>
          <w:iCs/>
          <w:szCs w:val="24"/>
          <w:lang w:val="en-GB"/>
        </w:rPr>
        <w:t>3. ESMA shall develop draft regulatory technical standards to specify the details of the relevant order data required to be maintained under paragraph 2 of this Article that is not referred to in Article 26.</w:t>
      </w:r>
    </w:p>
    <w:p w14:paraId="52281BEA" w14:textId="77777777" w:rsidR="00574ECE" w:rsidRPr="00574ECE" w:rsidRDefault="00574ECE" w:rsidP="00574ECE">
      <w:pPr>
        <w:suppressLineNumbers/>
        <w:rPr>
          <w:i/>
          <w:iCs/>
          <w:szCs w:val="24"/>
          <w:lang w:val="en-GB"/>
        </w:rPr>
      </w:pPr>
      <w:r w:rsidRPr="00574ECE">
        <w:rPr>
          <w:i/>
          <w:iCs/>
          <w:szCs w:val="24"/>
          <w:lang w:val="en-GB"/>
        </w:rPr>
        <w:t xml:space="preserve">Those draft regulatory technical standards shall include </w:t>
      </w:r>
    </w:p>
    <w:p w14:paraId="67C3B25A"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the identification code of the member or participant which transmitted the order</w:t>
      </w:r>
    </w:p>
    <w:p w14:paraId="599E186F"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the identification code of the order</w:t>
      </w:r>
    </w:p>
    <w:p w14:paraId="211C5030"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the date and time the order was transmitted</w:t>
      </w:r>
    </w:p>
    <w:p w14:paraId="563D1090"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the characteristics of the order, including the type of order</w:t>
      </w:r>
    </w:p>
    <w:p w14:paraId="7FB136F4"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the limit price if applicable</w:t>
      </w:r>
    </w:p>
    <w:p w14:paraId="4C963C41"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 xml:space="preserve">the validity </w:t>
      </w:r>
      <w:proofErr w:type="gramStart"/>
      <w:r w:rsidRPr="00574ECE">
        <w:rPr>
          <w:i/>
          <w:iCs/>
          <w:szCs w:val="24"/>
          <w:lang w:val="en-GB"/>
        </w:rPr>
        <w:t>period</w:t>
      </w:r>
      <w:proofErr w:type="gramEnd"/>
    </w:p>
    <w:p w14:paraId="3A926F24"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any specific order instructions</w:t>
      </w:r>
    </w:p>
    <w:p w14:paraId="1EBE96A4"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details of any modification</w:t>
      </w:r>
    </w:p>
    <w:p w14:paraId="10A5CDE6"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cancellation</w:t>
      </w:r>
    </w:p>
    <w:p w14:paraId="43D8AC7F"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 xml:space="preserve">partial or full execution of the order and </w:t>
      </w:r>
    </w:p>
    <w:p w14:paraId="6A5E69F6" w14:textId="77777777" w:rsidR="00574ECE" w:rsidRPr="00574ECE" w:rsidRDefault="00574ECE" w:rsidP="00574ECE">
      <w:pPr>
        <w:suppressLineNumbers/>
        <w:spacing w:before="0"/>
        <w:rPr>
          <w:i/>
          <w:iCs/>
          <w:szCs w:val="24"/>
          <w:lang w:val="en-GB"/>
        </w:rPr>
      </w:pPr>
      <w:r w:rsidRPr="00574ECE">
        <w:rPr>
          <w:i/>
          <w:iCs/>
          <w:szCs w:val="24"/>
          <w:lang w:val="en-GB"/>
        </w:rPr>
        <w:t>•</w:t>
      </w:r>
      <w:r w:rsidRPr="00574ECE">
        <w:rPr>
          <w:i/>
          <w:iCs/>
          <w:szCs w:val="24"/>
          <w:lang w:val="en-GB"/>
        </w:rPr>
        <w:tab/>
        <w:t>the agency or principal capacity.</w:t>
      </w:r>
    </w:p>
    <w:p w14:paraId="70D616AB" w14:textId="77777777" w:rsidR="00574ECE" w:rsidRPr="00574ECE" w:rsidRDefault="00574ECE" w:rsidP="00574ECE">
      <w:pPr>
        <w:suppressLineNumbers/>
        <w:rPr>
          <w:szCs w:val="24"/>
          <w:lang w:val="en-GB"/>
        </w:rPr>
      </w:pPr>
      <w:r w:rsidRPr="00574ECE">
        <w:rPr>
          <w:szCs w:val="24"/>
          <w:lang w:val="en-GB"/>
        </w:rPr>
        <w:t>The new message will use the ISO 20022 Business Application Header (BAH) without repeating header elements within the message. This message could be complemented with additional messages in the future based on potential need needs.</w:t>
      </w:r>
    </w:p>
    <w:p w14:paraId="603081ED" w14:textId="77777777" w:rsidR="00574ECE" w:rsidRPr="00574ECE" w:rsidRDefault="00574ECE" w:rsidP="00574ECE">
      <w:pPr>
        <w:suppressLineNumbers/>
        <w:rPr>
          <w:szCs w:val="24"/>
          <w:lang w:val="en-GB"/>
        </w:rPr>
      </w:pPr>
      <w:r w:rsidRPr="00574ECE">
        <w:rPr>
          <w:szCs w:val="24"/>
          <w:lang w:val="en-GB"/>
        </w:rPr>
        <w:t>The submitting organisation wants to deploy the future message in the default ISO 20022 XML syntax only.</w:t>
      </w:r>
    </w:p>
    <w:p w14:paraId="3FF538D7" w14:textId="77777777" w:rsidR="00574ECE" w:rsidRPr="00574ECE" w:rsidRDefault="00574ECE" w:rsidP="00574ECE">
      <w:pPr>
        <w:suppressLineNumbers/>
        <w:rPr>
          <w:szCs w:val="24"/>
          <w:lang w:val="en-GB"/>
        </w:rPr>
      </w:pPr>
      <w:r w:rsidRPr="00574ECE">
        <w:rPr>
          <w:szCs w:val="24"/>
          <w:lang w:val="en-GB"/>
        </w:rPr>
        <w:t>The submitting organisation expects to develop one message for OBOOK data exchange between NCA’s</w:t>
      </w:r>
    </w:p>
    <w:p w14:paraId="3D925E7B" w14:textId="77777777" w:rsidR="00574ECE" w:rsidRPr="00574ECE" w:rsidRDefault="00574ECE" w:rsidP="00574ECE">
      <w:pPr>
        <w:suppressLineNumbers/>
        <w:rPr>
          <w:szCs w:val="24"/>
          <w:lang w:val="en-GB"/>
        </w:rPr>
      </w:pPr>
      <w:r w:rsidRPr="00574ECE">
        <w:rPr>
          <w:szCs w:val="24"/>
          <w:lang w:val="en-GB"/>
        </w:rPr>
        <w:t>The proposed business area for the message is “auth”.</w:t>
      </w:r>
    </w:p>
    <w:p w14:paraId="24898EC7" w14:textId="08C59D9D" w:rsidR="0038029C" w:rsidRDefault="00574ECE" w:rsidP="00574ECE">
      <w:pPr>
        <w:suppressLineNumbers/>
        <w:rPr>
          <w:szCs w:val="24"/>
          <w:lang w:val="en-GB"/>
        </w:rPr>
      </w:pPr>
      <w:r w:rsidRPr="00574ECE">
        <w:rPr>
          <w:szCs w:val="24"/>
          <w:lang w:val="en-GB"/>
        </w:rPr>
        <w:t>Based on the scope, the submitting organisation proposes to assign the Securities Standards Evaluation Group(s) (SEG) for the evaluation of the candidate ISO 20022 messages, once developed</w:t>
      </w:r>
      <w:r>
        <w:rPr>
          <w:szCs w:val="24"/>
          <w:lang w:val="en-GB"/>
        </w:rPr>
        <w:t>.</w:t>
      </w:r>
      <w:r w:rsidR="00323F9D" w:rsidRPr="00B311FF">
        <w:rPr>
          <w:szCs w:val="24"/>
          <w:lang w:val="en-GB"/>
        </w:rPr>
        <w:t xml:space="preserve"> </w:t>
      </w:r>
    </w:p>
    <w:p w14:paraId="09D1B0C1" w14:textId="2B15F088" w:rsidR="0038029C" w:rsidRDefault="0038029C" w:rsidP="0038029C">
      <w:pPr>
        <w:suppressLineNumbers/>
        <w:rPr>
          <w:b/>
          <w:bCs/>
          <w:lang w:val="en-GB"/>
        </w:rPr>
      </w:pPr>
      <w:r>
        <w:rPr>
          <w:szCs w:val="24"/>
          <w:lang w:val="en-GB"/>
        </w:rPr>
        <w:br w:type="page"/>
      </w:r>
      <w:r w:rsidRPr="0038029C">
        <w:rPr>
          <w:b/>
          <w:bCs/>
          <w:lang w:val="en-GB"/>
        </w:rPr>
        <w:lastRenderedPageBreak/>
        <w:t>List of abbreviations:</w:t>
      </w:r>
    </w:p>
    <w:p w14:paraId="03B957EB" w14:textId="77777777" w:rsidR="0038029C" w:rsidRPr="0038029C" w:rsidRDefault="0038029C" w:rsidP="0038029C">
      <w:pPr>
        <w:suppressLineNumbers/>
        <w:rPr>
          <w:b/>
          <w:bCs/>
          <w:lang w:val="en-GB"/>
        </w:rPr>
      </w:pPr>
    </w:p>
    <w:tbl>
      <w:tblPr>
        <w:tblW w:w="831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7088"/>
      </w:tblGrid>
      <w:tr w:rsidR="0038029C" w:rsidRPr="008013A6" w14:paraId="1966E481" w14:textId="77777777" w:rsidTr="009D6B13">
        <w:tc>
          <w:tcPr>
            <w:tcW w:w="1231" w:type="dxa"/>
            <w:shd w:val="clear" w:color="auto" w:fill="BFBFBF"/>
          </w:tcPr>
          <w:p w14:paraId="7D5DCF48" w14:textId="77777777" w:rsidR="0038029C" w:rsidRPr="008013A6" w:rsidRDefault="0038029C" w:rsidP="009D6B13">
            <w:pPr>
              <w:spacing w:line="240" w:lineRule="atLeast"/>
              <w:jc w:val="center"/>
              <w:rPr>
                <w:rFonts w:ascii="Arial" w:hAnsi="Arial" w:cs="Arial"/>
                <w:b/>
                <w:sz w:val="20"/>
              </w:rPr>
            </w:pPr>
            <w:r w:rsidRPr="008013A6">
              <w:rPr>
                <w:rFonts w:ascii="Arial" w:hAnsi="Arial" w:cs="Arial"/>
                <w:b/>
                <w:sz w:val="20"/>
              </w:rPr>
              <w:t>Term</w:t>
            </w:r>
          </w:p>
        </w:tc>
        <w:tc>
          <w:tcPr>
            <w:tcW w:w="7088" w:type="dxa"/>
            <w:shd w:val="clear" w:color="auto" w:fill="BFBFBF"/>
          </w:tcPr>
          <w:p w14:paraId="12E5EAA1" w14:textId="77777777" w:rsidR="0038029C" w:rsidRPr="008013A6" w:rsidRDefault="0038029C" w:rsidP="009D6B13">
            <w:pPr>
              <w:jc w:val="center"/>
              <w:rPr>
                <w:rFonts w:ascii="Arial" w:hAnsi="Arial" w:cs="Arial"/>
                <w:b/>
                <w:sz w:val="20"/>
              </w:rPr>
            </w:pPr>
            <w:r w:rsidRPr="008013A6">
              <w:rPr>
                <w:rFonts w:ascii="Arial" w:hAnsi="Arial" w:cs="Arial"/>
                <w:b/>
                <w:sz w:val="20"/>
              </w:rPr>
              <w:t>Definition</w:t>
            </w:r>
          </w:p>
        </w:tc>
      </w:tr>
      <w:tr w:rsidR="0038029C" w:rsidRPr="008013A6" w14:paraId="1AC228C3" w14:textId="77777777" w:rsidTr="009D6B13">
        <w:tc>
          <w:tcPr>
            <w:tcW w:w="1231" w:type="dxa"/>
          </w:tcPr>
          <w:p w14:paraId="1B58DD51" w14:textId="77777777" w:rsidR="0038029C" w:rsidRPr="008013A6" w:rsidRDefault="0038029C" w:rsidP="009D6B13">
            <w:pPr>
              <w:spacing w:line="240" w:lineRule="atLeast"/>
              <w:rPr>
                <w:rFonts w:ascii="Arial" w:hAnsi="Arial" w:cs="Arial"/>
                <w:sz w:val="20"/>
              </w:rPr>
            </w:pPr>
            <w:r w:rsidRPr="008013A6">
              <w:rPr>
                <w:rFonts w:ascii="Arial" w:hAnsi="Arial" w:cs="Arial"/>
                <w:sz w:val="20"/>
              </w:rPr>
              <w:t>AFM</w:t>
            </w:r>
          </w:p>
        </w:tc>
        <w:tc>
          <w:tcPr>
            <w:tcW w:w="7088" w:type="dxa"/>
          </w:tcPr>
          <w:p w14:paraId="3B2F2599" w14:textId="77777777" w:rsidR="0038029C" w:rsidRPr="008013A6" w:rsidRDefault="0038029C" w:rsidP="009D6B13">
            <w:pPr>
              <w:rPr>
                <w:rFonts w:ascii="Arial" w:hAnsi="Arial" w:cs="Arial"/>
                <w:sz w:val="20"/>
              </w:rPr>
            </w:pPr>
            <w:r w:rsidRPr="008013A6">
              <w:rPr>
                <w:rFonts w:ascii="Arial" w:hAnsi="Arial" w:cs="Arial"/>
                <w:sz w:val="20"/>
              </w:rPr>
              <w:t>France NCA</w:t>
            </w:r>
          </w:p>
        </w:tc>
      </w:tr>
      <w:tr w:rsidR="0038029C" w:rsidRPr="008013A6" w14:paraId="77C33B54" w14:textId="77777777" w:rsidTr="009D6B13">
        <w:tc>
          <w:tcPr>
            <w:tcW w:w="1231" w:type="dxa"/>
          </w:tcPr>
          <w:p w14:paraId="25A293F0" w14:textId="77777777" w:rsidR="0038029C" w:rsidRPr="008013A6" w:rsidRDefault="0038029C" w:rsidP="009D6B13">
            <w:pPr>
              <w:spacing w:line="240" w:lineRule="atLeast"/>
              <w:rPr>
                <w:rFonts w:ascii="Arial" w:hAnsi="Arial" w:cs="Arial"/>
                <w:sz w:val="20"/>
              </w:rPr>
            </w:pPr>
            <w:r w:rsidRPr="008013A6">
              <w:rPr>
                <w:rFonts w:ascii="Arial" w:hAnsi="Arial" w:cs="Arial"/>
                <w:sz w:val="20"/>
              </w:rPr>
              <w:t>AMF</w:t>
            </w:r>
          </w:p>
        </w:tc>
        <w:tc>
          <w:tcPr>
            <w:tcW w:w="7088" w:type="dxa"/>
          </w:tcPr>
          <w:p w14:paraId="69122285" w14:textId="77777777" w:rsidR="0038029C" w:rsidRPr="008013A6" w:rsidRDefault="0038029C" w:rsidP="009D6B13">
            <w:pPr>
              <w:rPr>
                <w:rFonts w:ascii="Arial" w:hAnsi="Arial" w:cs="Arial"/>
                <w:sz w:val="20"/>
              </w:rPr>
            </w:pPr>
            <w:r w:rsidRPr="008013A6">
              <w:rPr>
                <w:rFonts w:ascii="Arial" w:hAnsi="Arial" w:cs="Arial"/>
                <w:sz w:val="20"/>
              </w:rPr>
              <w:t>Netherlands NCA</w:t>
            </w:r>
          </w:p>
        </w:tc>
      </w:tr>
      <w:tr w:rsidR="0038029C" w:rsidRPr="008013A6" w14:paraId="7AD32A40" w14:textId="77777777" w:rsidTr="009D6B13">
        <w:tc>
          <w:tcPr>
            <w:tcW w:w="1231" w:type="dxa"/>
          </w:tcPr>
          <w:p w14:paraId="17C7FEC1" w14:textId="77777777" w:rsidR="0038029C" w:rsidRPr="008013A6" w:rsidRDefault="0038029C" w:rsidP="009D6B13">
            <w:pPr>
              <w:spacing w:line="240" w:lineRule="atLeast"/>
              <w:rPr>
                <w:rFonts w:ascii="Arial" w:hAnsi="Arial" w:cs="Arial"/>
                <w:sz w:val="20"/>
              </w:rPr>
            </w:pPr>
            <w:r w:rsidRPr="008013A6">
              <w:rPr>
                <w:rFonts w:ascii="Arial" w:hAnsi="Arial" w:cs="Arial"/>
                <w:sz w:val="20"/>
              </w:rPr>
              <w:t>BAH</w:t>
            </w:r>
          </w:p>
        </w:tc>
        <w:tc>
          <w:tcPr>
            <w:tcW w:w="7088" w:type="dxa"/>
          </w:tcPr>
          <w:p w14:paraId="6E84E1B1" w14:textId="77777777" w:rsidR="0038029C" w:rsidRPr="008013A6" w:rsidRDefault="0038029C" w:rsidP="009D6B13">
            <w:pPr>
              <w:rPr>
                <w:rFonts w:ascii="Arial" w:hAnsi="Arial" w:cs="Arial"/>
                <w:sz w:val="20"/>
              </w:rPr>
            </w:pPr>
            <w:r w:rsidRPr="008013A6">
              <w:rPr>
                <w:rFonts w:ascii="Arial" w:hAnsi="Arial" w:cs="Arial"/>
                <w:sz w:val="20"/>
              </w:rPr>
              <w:t>Business Application Header</w:t>
            </w:r>
          </w:p>
        </w:tc>
      </w:tr>
      <w:tr w:rsidR="0038029C" w:rsidRPr="008013A6" w14:paraId="7D777470" w14:textId="77777777" w:rsidTr="009D6B13">
        <w:tc>
          <w:tcPr>
            <w:tcW w:w="1231" w:type="dxa"/>
          </w:tcPr>
          <w:p w14:paraId="1208C945" w14:textId="77777777" w:rsidR="0038029C" w:rsidRPr="008013A6" w:rsidRDefault="0038029C" w:rsidP="009D6B13">
            <w:pPr>
              <w:spacing w:line="240" w:lineRule="atLeast"/>
              <w:rPr>
                <w:rFonts w:ascii="Arial" w:hAnsi="Arial" w:cs="Arial"/>
                <w:sz w:val="20"/>
              </w:rPr>
            </w:pPr>
            <w:r w:rsidRPr="008013A6">
              <w:rPr>
                <w:rFonts w:ascii="Arial" w:hAnsi="Arial" w:cs="Arial"/>
                <w:sz w:val="20"/>
              </w:rPr>
              <w:t>DFSA</w:t>
            </w:r>
          </w:p>
        </w:tc>
        <w:tc>
          <w:tcPr>
            <w:tcW w:w="7088" w:type="dxa"/>
          </w:tcPr>
          <w:p w14:paraId="761E24D2" w14:textId="77777777" w:rsidR="0038029C" w:rsidRPr="008013A6" w:rsidRDefault="0038029C" w:rsidP="009D6B13">
            <w:pPr>
              <w:rPr>
                <w:rFonts w:ascii="Arial" w:hAnsi="Arial" w:cs="Arial"/>
                <w:sz w:val="20"/>
              </w:rPr>
            </w:pPr>
            <w:r w:rsidRPr="008013A6">
              <w:rPr>
                <w:rFonts w:ascii="Arial" w:hAnsi="Arial" w:cs="Arial"/>
                <w:sz w:val="20"/>
              </w:rPr>
              <w:t>Danish NCA</w:t>
            </w:r>
          </w:p>
        </w:tc>
      </w:tr>
      <w:tr w:rsidR="0038029C" w:rsidRPr="008013A6" w14:paraId="1CFE8CA1" w14:textId="77777777" w:rsidTr="009D6B13">
        <w:tc>
          <w:tcPr>
            <w:tcW w:w="1231" w:type="dxa"/>
          </w:tcPr>
          <w:p w14:paraId="6ABAD91B" w14:textId="77777777" w:rsidR="0038029C" w:rsidRPr="008013A6" w:rsidRDefault="0038029C" w:rsidP="009D6B13">
            <w:pPr>
              <w:spacing w:line="240" w:lineRule="atLeast"/>
              <w:rPr>
                <w:rFonts w:ascii="Arial" w:hAnsi="Arial" w:cs="Arial"/>
                <w:sz w:val="20"/>
                <w:lang w:val="el-GR"/>
              </w:rPr>
            </w:pPr>
            <w:r w:rsidRPr="008013A6">
              <w:rPr>
                <w:rFonts w:ascii="Arial" w:hAnsi="Arial" w:cs="Arial"/>
                <w:sz w:val="20"/>
              </w:rPr>
              <w:t>ESMA</w:t>
            </w:r>
          </w:p>
        </w:tc>
        <w:tc>
          <w:tcPr>
            <w:tcW w:w="7088" w:type="dxa"/>
          </w:tcPr>
          <w:p w14:paraId="1D27DAB8" w14:textId="77777777" w:rsidR="0038029C" w:rsidRPr="008013A6" w:rsidRDefault="0038029C" w:rsidP="009D6B13">
            <w:pPr>
              <w:rPr>
                <w:rFonts w:ascii="Arial" w:hAnsi="Arial" w:cs="Arial"/>
                <w:sz w:val="20"/>
              </w:rPr>
            </w:pPr>
            <w:r w:rsidRPr="008013A6">
              <w:rPr>
                <w:rFonts w:ascii="Arial" w:hAnsi="Arial" w:cs="Arial"/>
                <w:sz w:val="20"/>
              </w:rPr>
              <w:t>European Securities and Markets Authority</w:t>
            </w:r>
          </w:p>
        </w:tc>
      </w:tr>
      <w:tr w:rsidR="0038029C" w:rsidRPr="008013A6" w14:paraId="36848C27" w14:textId="77777777" w:rsidTr="009D6B13">
        <w:tc>
          <w:tcPr>
            <w:tcW w:w="1231" w:type="dxa"/>
          </w:tcPr>
          <w:p w14:paraId="6C65B069" w14:textId="77777777" w:rsidR="0038029C" w:rsidRPr="008013A6" w:rsidRDefault="0038029C" w:rsidP="009D6B13">
            <w:pPr>
              <w:spacing w:line="240" w:lineRule="atLeast"/>
              <w:rPr>
                <w:rFonts w:ascii="Arial" w:hAnsi="Arial" w:cs="Arial"/>
                <w:sz w:val="20"/>
              </w:rPr>
            </w:pPr>
            <w:r w:rsidRPr="008013A6">
              <w:rPr>
                <w:rFonts w:ascii="Arial" w:hAnsi="Arial" w:cs="Arial"/>
                <w:sz w:val="20"/>
              </w:rPr>
              <w:t>FIN FSA</w:t>
            </w:r>
          </w:p>
        </w:tc>
        <w:tc>
          <w:tcPr>
            <w:tcW w:w="7088" w:type="dxa"/>
          </w:tcPr>
          <w:p w14:paraId="142DA7A1" w14:textId="77777777" w:rsidR="0038029C" w:rsidRPr="008013A6" w:rsidRDefault="0038029C" w:rsidP="009D6B13">
            <w:pPr>
              <w:rPr>
                <w:rFonts w:ascii="Arial" w:hAnsi="Arial" w:cs="Arial"/>
                <w:sz w:val="20"/>
                <w:lang w:val="el-GR"/>
              </w:rPr>
            </w:pPr>
            <w:r w:rsidRPr="008013A6">
              <w:rPr>
                <w:rFonts w:ascii="Arial" w:hAnsi="Arial" w:cs="Arial"/>
                <w:sz w:val="20"/>
              </w:rPr>
              <w:t>Finland NCA</w:t>
            </w:r>
          </w:p>
        </w:tc>
      </w:tr>
      <w:tr w:rsidR="0038029C" w:rsidRPr="008013A6" w14:paraId="6800D21C" w14:textId="77777777" w:rsidTr="009D6B13">
        <w:tc>
          <w:tcPr>
            <w:tcW w:w="1231" w:type="dxa"/>
          </w:tcPr>
          <w:p w14:paraId="160184A5" w14:textId="77777777" w:rsidR="0038029C" w:rsidRPr="008013A6" w:rsidRDefault="0038029C" w:rsidP="009D6B13">
            <w:pPr>
              <w:spacing w:line="240" w:lineRule="atLeast"/>
              <w:rPr>
                <w:rFonts w:ascii="Arial" w:hAnsi="Arial" w:cs="Arial"/>
                <w:sz w:val="20"/>
              </w:rPr>
            </w:pPr>
            <w:r w:rsidRPr="008013A6">
              <w:rPr>
                <w:rFonts w:ascii="Arial" w:hAnsi="Arial" w:cs="Arial"/>
                <w:sz w:val="20"/>
              </w:rPr>
              <w:t>FSMA</w:t>
            </w:r>
          </w:p>
        </w:tc>
        <w:tc>
          <w:tcPr>
            <w:tcW w:w="7088" w:type="dxa"/>
          </w:tcPr>
          <w:p w14:paraId="534A6490" w14:textId="77777777" w:rsidR="0038029C" w:rsidRPr="008013A6" w:rsidRDefault="0038029C" w:rsidP="009D6B13">
            <w:pPr>
              <w:rPr>
                <w:rFonts w:ascii="Arial" w:hAnsi="Arial" w:cs="Arial"/>
                <w:sz w:val="20"/>
                <w:lang w:val="el-GR"/>
              </w:rPr>
            </w:pPr>
            <w:r w:rsidRPr="008013A6">
              <w:rPr>
                <w:rFonts w:ascii="Arial" w:hAnsi="Arial" w:cs="Arial"/>
                <w:sz w:val="20"/>
              </w:rPr>
              <w:t>Belgium NCA</w:t>
            </w:r>
          </w:p>
        </w:tc>
      </w:tr>
      <w:tr w:rsidR="0038029C" w:rsidRPr="008013A6" w14:paraId="0E83398F" w14:textId="77777777" w:rsidTr="009D6B13">
        <w:tc>
          <w:tcPr>
            <w:tcW w:w="1231" w:type="dxa"/>
          </w:tcPr>
          <w:p w14:paraId="0289684C" w14:textId="77777777" w:rsidR="0038029C" w:rsidRPr="008013A6" w:rsidRDefault="0038029C" w:rsidP="009D6B13">
            <w:pPr>
              <w:spacing w:line="240" w:lineRule="atLeast"/>
              <w:rPr>
                <w:rFonts w:ascii="Arial" w:hAnsi="Arial" w:cs="Arial"/>
                <w:sz w:val="20"/>
              </w:rPr>
            </w:pPr>
            <w:r w:rsidRPr="008013A6">
              <w:rPr>
                <w:rFonts w:ascii="Arial" w:hAnsi="Arial" w:cs="Arial"/>
                <w:sz w:val="20"/>
              </w:rPr>
              <w:t>ITMG</w:t>
            </w:r>
          </w:p>
        </w:tc>
        <w:tc>
          <w:tcPr>
            <w:tcW w:w="7088" w:type="dxa"/>
          </w:tcPr>
          <w:p w14:paraId="6C72E334" w14:textId="77777777" w:rsidR="0038029C" w:rsidRPr="008013A6" w:rsidRDefault="0038029C" w:rsidP="009D6B13">
            <w:pPr>
              <w:rPr>
                <w:rFonts w:ascii="Arial" w:hAnsi="Arial" w:cs="Arial"/>
                <w:sz w:val="20"/>
              </w:rPr>
            </w:pPr>
            <w:r w:rsidRPr="008013A6">
              <w:rPr>
                <w:rFonts w:ascii="Arial" w:hAnsi="Arial" w:cs="Arial"/>
                <w:sz w:val="20"/>
              </w:rPr>
              <w:t>IT Management and Governance group</w:t>
            </w:r>
          </w:p>
        </w:tc>
      </w:tr>
      <w:tr w:rsidR="0038029C" w:rsidRPr="008013A6" w14:paraId="0A9D8B64" w14:textId="77777777" w:rsidTr="009D6B13">
        <w:tc>
          <w:tcPr>
            <w:tcW w:w="1231" w:type="dxa"/>
          </w:tcPr>
          <w:p w14:paraId="5B43CA23" w14:textId="77777777" w:rsidR="0038029C" w:rsidRPr="008013A6" w:rsidRDefault="0038029C" w:rsidP="009D6B13">
            <w:pPr>
              <w:spacing w:line="240" w:lineRule="atLeast"/>
              <w:rPr>
                <w:rFonts w:ascii="Arial" w:hAnsi="Arial" w:cs="Arial"/>
                <w:sz w:val="20"/>
              </w:rPr>
            </w:pPr>
            <w:r w:rsidRPr="008013A6">
              <w:rPr>
                <w:rFonts w:ascii="Arial" w:hAnsi="Arial" w:cs="Arial"/>
                <w:sz w:val="20"/>
              </w:rPr>
              <w:t>MDR</w:t>
            </w:r>
          </w:p>
        </w:tc>
        <w:tc>
          <w:tcPr>
            <w:tcW w:w="7088" w:type="dxa"/>
          </w:tcPr>
          <w:p w14:paraId="52AE7A7A" w14:textId="77777777" w:rsidR="0038029C" w:rsidRPr="008013A6" w:rsidRDefault="0038029C" w:rsidP="009D6B13">
            <w:pPr>
              <w:rPr>
                <w:rFonts w:ascii="Arial" w:hAnsi="Arial" w:cs="Arial"/>
                <w:sz w:val="20"/>
                <w:lang w:val="el-GR"/>
              </w:rPr>
            </w:pPr>
            <w:r w:rsidRPr="008013A6">
              <w:rPr>
                <w:rFonts w:ascii="Arial" w:hAnsi="Arial" w:cs="Arial"/>
                <w:sz w:val="20"/>
              </w:rPr>
              <w:t>Message Definition Report</w:t>
            </w:r>
          </w:p>
        </w:tc>
      </w:tr>
      <w:tr w:rsidR="0038029C" w:rsidRPr="008013A6" w14:paraId="3634A742" w14:textId="77777777" w:rsidTr="009D6B13">
        <w:tc>
          <w:tcPr>
            <w:tcW w:w="1231" w:type="dxa"/>
          </w:tcPr>
          <w:p w14:paraId="58F93279" w14:textId="77777777" w:rsidR="0038029C" w:rsidRPr="008013A6" w:rsidRDefault="0038029C" w:rsidP="009D6B13">
            <w:pPr>
              <w:spacing w:line="240" w:lineRule="atLeast"/>
              <w:rPr>
                <w:rFonts w:ascii="Arial" w:hAnsi="Arial" w:cs="Arial"/>
                <w:sz w:val="20"/>
              </w:rPr>
            </w:pPr>
            <w:r w:rsidRPr="008013A6">
              <w:rPr>
                <w:rFonts w:ascii="Arial" w:hAnsi="Arial" w:cs="Arial"/>
                <w:sz w:val="20"/>
              </w:rPr>
              <w:t>MDSC</w:t>
            </w:r>
          </w:p>
        </w:tc>
        <w:tc>
          <w:tcPr>
            <w:tcW w:w="7088" w:type="dxa"/>
          </w:tcPr>
          <w:p w14:paraId="6B12402B" w14:textId="77777777" w:rsidR="0038029C" w:rsidRPr="008013A6" w:rsidRDefault="0038029C" w:rsidP="009D6B13">
            <w:pPr>
              <w:rPr>
                <w:rFonts w:ascii="Arial" w:hAnsi="Arial" w:cs="Arial"/>
                <w:sz w:val="20"/>
              </w:rPr>
            </w:pPr>
            <w:r w:rsidRPr="008013A6">
              <w:rPr>
                <w:rFonts w:ascii="Arial" w:hAnsi="Arial" w:cs="Arial"/>
                <w:sz w:val="20"/>
              </w:rPr>
              <w:t>Market Data Standing Committee</w:t>
            </w:r>
          </w:p>
        </w:tc>
      </w:tr>
      <w:tr w:rsidR="0038029C" w:rsidRPr="008013A6" w14:paraId="108F33EA" w14:textId="77777777" w:rsidTr="009D6B13">
        <w:tc>
          <w:tcPr>
            <w:tcW w:w="1231" w:type="dxa"/>
          </w:tcPr>
          <w:p w14:paraId="1D016FB6" w14:textId="77777777" w:rsidR="0038029C" w:rsidRPr="008013A6" w:rsidRDefault="0038029C" w:rsidP="009D6B13">
            <w:pPr>
              <w:spacing w:line="240" w:lineRule="atLeast"/>
              <w:rPr>
                <w:rFonts w:ascii="Arial" w:hAnsi="Arial" w:cs="Arial"/>
                <w:sz w:val="20"/>
              </w:rPr>
            </w:pPr>
            <w:proofErr w:type="spellStart"/>
            <w:r w:rsidRPr="008013A6">
              <w:rPr>
                <w:rFonts w:ascii="Arial" w:hAnsi="Arial" w:cs="Arial"/>
                <w:sz w:val="20"/>
              </w:rPr>
              <w:t>MiFIR</w:t>
            </w:r>
            <w:proofErr w:type="spellEnd"/>
          </w:p>
        </w:tc>
        <w:tc>
          <w:tcPr>
            <w:tcW w:w="7088" w:type="dxa"/>
          </w:tcPr>
          <w:p w14:paraId="5B275FB3" w14:textId="77777777" w:rsidR="0038029C" w:rsidRPr="008013A6" w:rsidRDefault="0038029C" w:rsidP="009D6B13">
            <w:pPr>
              <w:rPr>
                <w:rFonts w:ascii="Arial" w:hAnsi="Arial" w:cs="Arial"/>
                <w:sz w:val="20"/>
              </w:rPr>
            </w:pPr>
            <w:r w:rsidRPr="008013A6">
              <w:rPr>
                <w:rFonts w:ascii="Arial" w:hAnsi="Arial" w:cs="Arial"/>
                <w:sz w:val="20"/>
              </w:rPr>
              <w:t xml:space="preserve">Regulation </w:t>
            </w:r>
            <w:proofErr w:type="gramStart"/>
            <w:r w:rsidRPr="008013A6">
              <w:rPr>
                <w:rFonts w:ascii="Arial" w:hAnsi="Arial" w:cs="Arial"/>
                <w:sz w:val="20"/>
              </w:rPr>
              <w:t>of  the</w:t>
            </w:r>
            <w:proofErr w:type="gramEnd"/>
            <w:r w:rsidRPr="008013A6">
              <w:rPr>
                <w:rFonts w:ascii="Arial" w:hAnsi="Arial" w:cs="Arial"/>
                <w:sz w:val="20"/>
              </w:rPr>
              <w:t xml:space="preserve">  European  Parliament  and  of  the  Council  on markets   in   financial instruments</w:t>
            </w:r>
          </w:p>
        </w:tc>
      </w:tr>
      <w:tr w:rsidR="0038029C" w:rsidRPr="008013A6" w14:paraId="147185E3" w14:textId="77777777" w:rsidTr="009D6B13">
        <w:tc>
          <w:tcPr>
            <w:tcW w:w="1231" w:type="dxa"/>
          </w:tcPr>
          <w:p w14:paraId="60C76256" w14:textId="77777777" w:rsidR="0038029C" w:rsidRPr="008013A6" w:rsidRDefault="0038029C" w:rsidP="009D6B13">
            <w:pPr>
              <w:spacing w:line="240" w:lineRule="atLeast"/>
              <w:rPr>
                <w:rFonts w:ascii="Arial" w:hAnsi="Arial" w:cs="Arial"/>
                <w:sz w:val="20"/>
              </w:rPr>
            </w:pPr>
            <w:r w:rsidRPr="008013A6">
              <w:rPr>
                <w:rFonts w:ascii="Arial" w:hAnsi="Arial" w:cs="Arial"/>
                <w:sz w:val="20"/>
              </w:rPr>
              <w:t>MISC</w:t>
            </w:r>
          </w:p>
        </w:tc>
        <w:tc>
          <w:tcPr>
            <w:tcW w:w="7088" w:type="dxa"/>
          </w:tcPr>
          <w:p w14:paraId="5C145E46" w14:textId="77777777" w:rsidR="0038029C" w:rsidRPr="008013A6" w:rsidRDefault="0038029C" w:rsidP="009D6B13">
            <w:pPr>
              <w:rPr>
                <w:rFonts w:ascii="Arial" w:hAnsi="Arial" w:cs="Arial"/>
                <w:sz w:val="20"/>
              </w:rPr>
            </w:pPr>
            <w:r w:rsidRPr="008013A6">
              <w:rPr>
                <w:rFonts w:ascii="Arial" w:hAnsi="Arial" w:cs="Arial"/>
                <w:sz w:val="20"/>
              </w:rPr>
              <w:t>Market Integrity Standing Committee</w:t>
            </w:r>
          </w:p>
        </w:tc>
      </w:tr>
      <w:tr w:rsidR="0038029C" w:rsidRPr="008013A6" w14:paraId="5D699D44" w14:textId="77777777" w:rsidTr="009D6B13">
        <w:tc>
          <w:tcPr>
            <w:tcW w:w="1231" w:type="dxa"/>
          </w:tcPr>
          <w:p w14:paraId="622A22DD" w14:textId="77777777" w:rsidR="0038029C" w:rsidRPr="008013A6" w:rsidRDefault="0038029C" w:rsidP="009D6B13">
            <w:pPr>
              <w:spacing w:line="240" w:lineRule="atLeast"/>
              <w:rPr>
                <w:rFonts w:ascii="Arial" w:hAnsi="Arial" w:cs="Arial"/>
                <w:sz w:val="20"/>
              </w:rPr>
            </w:pPr>
            <w:r w:rsidRPr="008013A6">
              <w:rPr>
                <w:rFonts w:ascii="Arial" w:hAnsi="Arial" w:cs="Arial"/>
                <w:sz w:val="20"/>
              </w:rPr>
              <w:t>MTM</w:t>
            </w:r>
          </w:p>
        </w:tc>
        <w:tc>
          <w:tcPr>
            <w:tcW w:w="7088" w:type="dxa"/>
          </w:tcPr>
          <w:p w14:paraId="05886A7B" w14:textId="77777777" w:rsidR="0038029C" w:rsidRPr="008013A6" w:rsidRDefault="0038029C" w:rsidP="009D6B13">
            <w:pPr>
              <w:rPr>
                <w:rFonts w:ascii="Arial" w:hAnsi="Arial" w:cs="Arial"/>
                <w:sz w:val="20"/>
              </w:rPr>
            </w:pPr>
            <w:r w:rsidRPr="008013A6">
              <w:rPr>
                <w:rFonts w:ascii="Arial" w:hAnsi="Arial" w:cs="Arial"/>
                <w:sz w:val="20"/>
              </w:rPr>
              <w:t>Message Transport Modes</w:t>
            </w:r>
          </w:p>
        </w:tc>
      </w:tr>
      <w:tr w:rsidR="0038029C" w:rsidRPr="008013A6" w14:paraId="3BDBA5BF" w14:textId="77777777" w:rsidTr="009D6B13">
        <w:tc>
          <w:tcPr>
            <w:tcW w:w="1231" w:type="dxa"/>
          </w:tcPr>
          <w:p w14:paraId="37C31677" w14:textId="77777777" w:rsidR="0038029C" w:rsidRPr="008013A6" w:rsidRDefault="0038029C" w:rsidP="009D6B13">
            <w:pPr>
              <w:spacing w:line="240" w:lineRule="atLeast"/>
              <w:rPr>
                <w:rFonts w:ascii="Arial" w:hAnsi="Arial" w:cs="Arial"/>
                <w:sz w:val="20"/>
              </w:rPr>
            </w:pPr>
            <w:r w:rsidRPr="008013A6">
              <w:rPr>
                <w:rFonts w:ascii="Arial" w:hAnsi="Arial" w:cs="Arial"/>
                <w:sz w:val="20"/>
              </w:rPr>
              <w:t>NCA</w:t>
            </w:r>
          </w:p>
        </w:tc>
        <w:tc>
          <w:tcPr>
            <w:tcW w:w="7088" w:type="dxa"/>
          </w:tcPr>
          <w:p w14:paraId="5241A820" w14:textId="77777777" w:rsidR="0038029C" w:rsidRPr="008013A6" w:rsidRDefault="0038029C" w:rsidP="009D6B13">
            <w:pPr>
              <w:rPr>
                <w:rFonts w:ascii="Arial" w:hAnsi="Arial" w:cs="Arial"/>
                <w:sz w:val="20"/>
              </w:rPr>
            </w:pPr>
            <w:r w:rsidRPr="008013A6">
              <w:rPr>
                <w:rFonts w:ascii="Arial" w:hAnsi="Arial" w:cs="Arial"/>
                <w:sz w:val="20"/>
              </w:rPr>
              <w:t>National Competent Authority</w:t>
            </w:r>
          </w:p>
        </w:tc>
      </w:tr>
      <w:tr w:rsidR="0038029C" w:rsidRPr="008013A6" w14:paraId="5A5D5230" w14:textId="77777777" w:rsidTr="009D6B13">
        <w:tc>
          <w:tcPr>
            <w:tcW w:w="1231" w:type="dxa"/>
          </w:tcPr>
          <w:p w14:paraId="74726D38" w14:textId="77777777" w:rsidR="0038029C" w:rsidRPr="008013A6" w:rsidRDefault="0038029C" w:rsidP="009D6B13">
            <w:pPr>
              <w:spacing w:line="240" w:lineRule="atLeast"/>
              <w:rPr>
                <w:rFonts w:ascii="Arial" w:hAnsi="Arial" w:cs="Arial"/>
                <w:sz w:val="20"/>
              </w:rPr>
            </w:pPr>
            <w:r w:rsidRPr="008013A6">
              <w:rPr>
                <w:rFonts w:ascii="Arial" w:hAnsi="Arial" w:cs="Arial"/>
                <w:sz w:val="20"/>
              </w:rPr>
              <w:t>OBOOK</w:t>
            </w:r>
          </w:p>
        </w:tc>
        <w:tc>
          <w:tcPr>
            <w:tcW w:w="7088" w:type="dxa"/>
          </w:tcPr>
          <w:p w14:paraId="64D4FF91" w14:textId="77777777" w:rsidR="0038029C" w:rsidRPr="008013A6" w:rsidRDefault="0038029C" w:rsidP="009D6B13">
            <w:pPr>
              <w:rPr>
                <w:rFonts w:ascii="Arial" w:hAnsi="Arial" w:cs="Arial"/>
                <w:sz w:val="20"/>
                <w:lang w:val="el-GR"/>
              </w:rPr>
            </w:pPr>
            <w:r w:rsidRPr="008013A6">
              <w:rPr>
                <w:rFonts w:ascii="Arial" w:hAnsi="Arial" w:cs="Arial"/>
                <w:sz w:val="20"/>
              </w:rPr>
              <w:t>Order Book</w:t>
            </w:r>
          </w:p>
        </w:tc>
      </w:tr>
      <w:tr w:rsidR="0038029C" w:rsidRPr="008013A6" w14:paraId="7549F95C" w14:textId="77777777" w:rsidTr="009D6B13">
        <w:tc>
          <w:tcPr>
            <w:tcW w:w="1231" w:type="dxa"/>
          </w:tcPr>
          <w:p w14:paraId="4926E696" w14:textId="77777777" w:rsidR="0038029C" w:rsidRPr="008013A6" w:rsidRDefault="0038029C" w:rsidP="009D6B13">
            <w:pPr>
              <w:spacing w:line="240" w:lineRule="atLeast"/>
              <w:rPr>
                <w:rFonts w:ascii="Arial" w:hAnsi="Arial" w:cs="Arial"/>
                <w:sz w:val="20"/>
              </w:rPr>
            </w:pPr>
            <w:r w:rsidRPr="008013A6">
              <w:rPr>
                <w:rFonts w:ascii="Arial" w:hAnsi="Arial" w:cs="Arial"/>
                <w:sz w:val="20"/>
              </w:rPr>
              <w:t>TV</w:t>
            </w:r>
          </w:p>
        </w:tc>
        <w:tc>
          <w:tcPr>
            <w:tcW w:w="7088" w:type="dxa"/>
          </w:tcPr>
          <w:p w14:paraId="7468D896" w14:textId="77777777" w:rsidR="0038029C" w:rsidRPr="008013A6" w:rsidRDefault="0038029C" w:rsidP="009D6B13">
            <w:pPr>
              <w:rPr>
                <w:rFonts w:ascii="Arial" w:hAnsi="Arial" w:cs="Arial"/>
                <w:sz w:val="20"/>
              </w:rPr>
            </w:pPr>
            <w:r w:rsidRPr="008013A6">
              <w:rPr>
                <w:rFonts w:ascii="Arial" w:hAnsi="Arial" w:cs="Arial"/>
                <w:sz w:val="20"/>
              </w:rPr>
              <w:t>Trading Venue (covering RM, MTF and OTF).</w:t>
            </w:r>
          </w:p>
        </w:tc>
      </w:tr>
    </w:tbl>
    <w:p w14:paraId="3BEC9A37" w14:textId="77777777" w:rsidR="0038029C" w:rsidRDefault="0038029C" w:rsidP="0038029C">
      <w:pPr>
        <w:rPr>
          <w:lang w:val="en-GB"/>
        </w:rPr>
      </w:pPr>
    </w:p>
    <w:p w14:paraId="4C373E89" w14:textId="62DC63C6"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05063AB6" w14:textId="77777777" w:rsidR="0038029C" w:rsidRPr="009C7974" w:rsidRDefault="0038029C" w:rsidP="0038029C">
      <w:pPr>
        <w:rPr>
          <w:lang w:val="en-GB"/>
        </w:rPr>
      </w:pPr>
      <w:r w:rsidRPr="009C7974">
        <w:rPr>
          <w:lang w:val="en-GB"/>
        </w:rPr>
        <w:t xml:space="preserve">ESMA has conducted open public consultations on the draft regulatory technical standards on which this Regulation is based, analysed the potential related costs and benefits, and requested the opinion of the Securities and Markets Stakeholder Group established by Article 37 of Regulation (EU) No 1095/2010 of the European Parliament and of the Council. </w:t>
      </w:r>
    </w:p>
    <w:p w14:paraId="5B0704EC" w14:textId="77777777" w:rsidR="0038029C" w:rsidRPr="009C7974" w:rsidRDefault="0038029C" w:rsidP="0038029C">
      <w:pPr>
        <w:rPr>
          <w:lang w:val="en-GB"/>
        </w:rPr>
      </w:pPr>
      <w:r w:rsidRPr="009C7974">
        <w:rPr>
          <w:lang w:val="en-GB"/>
        </w:rPr>
        <w:t>Produced RTS 24(</w:t>
      </w:r>
      <w:r w:rsidRPr="009C7974">
        <w:rPr>
          <w:rStyle w:val="FootnoteReference"/>
          <w:rFonts w:ascii="Arial" w:hAnsi="Arial" w:cs="Arial"/>
          <w:sz w:val="20"/>
          <w:lang w:val="en-GB"/>
        </w:rPr>
        <w:footnoteReference w:id="1"/>
      </w:r>
      <w:r w:rsidRPr="009C7974">
        <w:rPr>
          <w:lang w:val="en-GB"/>
        </w:rPr>
        <w:t xml:space="preserve">) clarifies the templates to be used by TVs to maintain the details of orders covering among others the identification of the relevant parties, of the order, prices and events affecting the order as well as the standards/formats in which the details should be represented (even though it was not possible to impose a specific obligation to maintain the details according to ISO 20022 methodology, the standards/formats prescribed in the template should be compatible with such methodology). </w:t>
      </w:r>
    </w:p>
    <w:p w14:paraId="3754C367" w14:textId="77777777" w:rsidR="0038029C" w:rsidRDefault="0038029C" w:rsidP="0038029C">
      <w:pPr>
        <w:rPr>
          <w:lang w:val="en-GB"/>
        </w:rPr>
      </w:pPr>
      <w:r w:rsidRPr="009C7974">
        <w:rPr>
          <w:lang w:val="en-GB"/>
        </w:rPr>
        <w:t xml:space="preserve">The Guidelines are meant to support TVs in the compliance with the order record keeping provisions </w:t>
      </w:r>
      <w:proofErr w:type="gramStart"/>
      <w:r w:rsidRPr="009C7974">
        <w:rPr>
          <w:lang w:val="en-GB"/>
        </w:rPr>
        <w:t>by  providing</w:t>
      </w:r>
      <w:proofErr w:type="gramEnd"/>
      <w:r w:rsidRPr="009C7974">
        <w:rPr>
          <w:lang w:val="en-GB"/>
        </w:rPr>
        <w:t xml:space="preserve"> construction of order data records field by field for various scenarios that can occur.</w:t>
      </w:r>
    </w:p>
    <w:p w14:paraId="7AA30C9A" w14:textId="77777777" w:rsidR="00D67DE0" w:rsidRDefault="00D67DE0" w:rsidP="003F666C">
      <w:pPr>
        <w:numPr>
          <w:ilvl w:val="0"/>
          <w:numId w:val="8"/>
        </w:numPr>
        <w:suppressLineNumbers/>
        <w:rPr>
          <w:b/>
          <w:szCs w:val="24"/>
          <w:lang w:val="en-GB"/>
        </w:rPr>
      </w:pPr>
      <w:r w:rsidRPr="00D67DE0">
        <w:rPr>
          <w:b/>
          <w:szCs w:val="24"/>
          <w:lang w:val="en-GB"/>
        </w:rPr>
        <w:lastRenderedPageBreak/>
        <w:t>Community of users</w:t>
      </w:r>
      <w:r w:rsidR="00AB5AF6">
        <w:rPr>
          <w:b/>
          <w:szCs w:val="24"/>
          <w:lang w:val="en-GB"/>
        </w:rPr>
        <w:t xml:space="preserve"> and benefits</w:t>
      </w:r>
      <w:r w:rsidRPr="00D67DE0">
        <w:rPr>
          <w:b/>
          <w:szCs w:val="24"/>
          <w:lang w:val="en-GB"/>
        </w:rPr>
        <w:t>:</w:t>
      </w:r>
    </w:p>
    <w:p w14:paraId="4E2D3333" w14:textId="77777777" w:rsidR="0038029C" w:rsidRPr="009C7974" w:rsidRDefault="0038029C" w:rsidP="0038029C">
      <w:pPr>
        <w:rPr>
          <w:lang w:val="en-GB"/>
        </w:rPr>
      </w:pPr>
      <w:r w:rsidRPr="009C7974">
        <w:rPr>
          <w:lang w:val="en-GB"/>
        </w:rPr>
        <w:t xml:space="preserve">The community of users for these new messages are the NCA’s and ESMA. </w:t>
      </w:r>
    </w:p>
    <w:p w14:paraId="4B981F79" w14:textId="3692FD06" w:rsidR="0038029C" w:rsidRPr="009C7974" w:rsidRDefault="00720E78" w:rsidP="0038029C">
      <w:pPr>
        <w:spacing w:before="0"/>
        <w:jc w:val="both"/>
        <w:rPr>
          <w:rFonts w:ascii="Arial" w:hAnsi="Arial" w:cs="Arial"/>
          <w:sz w:val="20"/>
          <w:lang w:val="en-GB"/>
        </w:rPr>
      </w:pPr>
      <w:r>
        <w:rPr>
          <w:rFonts w:ascii="Arial" w:hAnsi="Arial" w:cs="Arial"/>
          <w:noProof/>
          <w:sz w:val="20"/>
        </w:rPr>
        <w:pict w14:anchorId="75D2E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49.25pt;height:309pt;visibility:visible;mso-wrap-style:square">
            <v:imagedata r:id="rId9" o:title=""/>
          </v:shape>
        </w:pict>
      </w:r>
    </w:p>
    <w:p w14:paraId="1EAB0CB4" w14:textId="77777777" w:rsidR="0038029C" w:rsidRPr="00F16725" w:rsidRDefault="0038029C" w:rsidP="0038029C">
      <w:pPr>
        <w:numPr>
          <w:ilvl w:val="0"/>
          <w:numId w:val="10"/>
        </w:numPr>
        <w:suppressLineNumbers/>
        <w:rPr>
          <w:b/>
          <w:bCs/>
          <w:szCs w:val="24"/>
          <w:lang w:val="en-GB"/>
        </w:rPr>
      </w:pPr>
      <w:r w:rsidRPr="00F16725">
        <w:rPr>
          <w:b/>
          <w:bCs/>
          <w:szCs w:val="24"/>
          <w:lang w:val="en-GB"/>
        </w:rPr>
        <w:t xml:space="preserve">Benefits/savings: </w:t>
      </w:r>
    </w:p>
    <w:p w14:paraId="2BB564EB" w14:textId="77777777" w:rsidR="0038029C" w:rsidRPr="00F16725" w:rsidRDefault="0038029C" w:rsidP="00F16725">
      <w:pPr>
        <w:suppressLineNumbers/>
        <w:ind w:left="720"/>
        <w:rPr>
          <w:szCs w:val="24"/>
          <w:lang w:val="en-GB"/>
        </w:rPr>
      </w:pPr>
      <w:r w:rsidRPr="00F16725">
        <w:rPr>
          <w:szCs w:val="24"/>
          <w:lang w:val="en-GB"/>
        </w:rPr>
        <w:t xml:space="preserve">The proposed messages will improve the efficiency of the data to be exchanged between NCA’s as it will make use of existing ISO 20022 business concepts. At the same time ESMA will profit from the adoption of these messages as the usage of business concepts from the ISO 20022 standard will allow to apply consistent definitions and a potential future processing of the received data. </w:t>
      </w:r>
    </w:p>
    <w:p w14:paraId="68ED50C1" w14:textId="77777777" w:rsidR="0038029C" w:rsidRPr="00F16725" w:rsidRDefault="0038029C" w:rsidP="00F16725">
      <w:pPr>
        <w:suppressLineNumbers/>
        <w:ind w:left="720"/>
        <w:rPr>
          <w:szCs w:val="24"/>
          <w:lang w:val="en-GB"/>
        </w:rPr>
      </w:pPr>
      <w:r w:rsidRPr="00F16725">
        <w:rPr>
          <w:szCs w:val="24"/>
          <w:lang w:val="en-GB"/>
        </w:rPr>
        <w:t>Additionally, the usage of standards is likely to improve data quality and ensure global semantic interoperability with all other ISO 20022 based systems.</w:t>
      </w:r>
    </w:p>
    <w:p w14:paraId="4902DE4D" w14:textId="77777777" w:rsidR="0038029C" w:rsidRPr="00F16725" w:rsidRDefault="0038029C" w:rsidP="0038029C">
      <w:pPr>
        <w:numPr>
          <w:ilvl w:val="0"/>
          <w:numId w:val="10"/>
        </w:numPr>
        <w:suppressLineNumbers/>
        <w:rPr>
          <w:b/>
          <w:bCs/>
          <w:szCs w:val="24"/>
          <w:lang w:val="en-GB"/>
        </w:rPr>
      </w:pPr>
      <w:r w:rsidRPr="00F16725">
        <w:rPr>
          <w:b/>
          <w:bCs/>
          <w:szCs w:val="24"/>
          <w:lang w:val="en-GB"/>
        </w:rPr>
        <w:t xml:space="preserve">Adoption scenario: </w:t>
      </w:r>
    </w:p>
    <w:p w14:paraId="703A0D07" w14:textId="324A59E4" w:rsidR="0038029C" w:rsidRPr="0038029C" w:rsidRDefault="0038029C" w:rsidP="0038029C">
      <w:pPr>
        <w:suppressLineNumbers/>
        <w:ind w:left="720"/>
        <w:rPr>
          <w:szCs w:val="24"/>
          <w:lang w:val="en-GB"/>
        </w:rPr>
      </w:pPr>
      <w:r w:rsidRPr="0038029C">
        <w:rPr>
          <w:szCs w:val="24"/>
          <w:lang w:val="en-GB"/>
        </w:rPr>
        <w:t>The adoption of the new message will take place, following the implementation of OBOOK project on Q3 2023.</w:t>
      </w:r>
    </w:p>
    <w:p w14:paraId="26388AF9" w14:textId="77777777" w:rsidR="0038029C" w:rsidRPr="00F16725" w:rsidRDefault="0038029C" w:rsidP="0038029C">
      <w:pPr>
        <w:numPr>
          <w:ilvl w:val="0"/>
          <w:numId w:val="10"/>
        </w:numPr>
        <w:suppressLineNumbers/>
        <w:rPr>
          <w:b/>
          <w:bCs/>
          <w:szCs w:val="24"/>
          <w:lang w:val="en-GB"/>
        </w:rPr>
      </w:pPr>
      <w:r w:rsidRPr="00F16725">
        <w:rPr>
          <w:b/>
          <w:bCs/>
          <w:szCs w:val="24"/>
          <w:lang w:val="en-GB"/>
        </w:rPr>
        <w:t xml:space="preserve">Volumes: </w:t>
      </w:r>
    </w:p>
    <w:p w14:paraId="211F3BF6" w14:textId="77777777" w:rsidR="0038029C" w:rsidRPr="0038029C" w:rsidRDefault="0038029C" w:rsidP="0038029C">
      <w:pPr>
        <w:suppressLineNumbers/>
        <w:ind w:left="720"/>
        <w:rPr>
          <w:szCs w:val="24"/>
          <w:lang w:val="en-GB"/>
        </w:rPr>
      </w:pPr>
      <w:r w:rsidRPr="0038029C">
        <w:rPr>
          <w:szCs w:val="24"/>
          <w:lang w:val="en-GB"/>
        </w:rPr>
        <w:t xml:space="preserve">Based on an EU survey, contacted in July 2022, the respective order book data volume, </w:t>
      </w:r>
      <w:proofErr w:type="gramStart"/>
      <w:r w:rsidRPr="0038029C">
        <w:rPr>
          <w:szCs w:val="24"/>
          <w:lang w:val="en-GB"/>
        </w:rPr>
        <w:t>on a daily basis</w:t>
      </w:r>
      <w:proofErr w:type="gramEnd"/>
      <w:r w:rsidRPr="0038029C">
        <w:rPr>
          <w:szCs w:val="24"/>
          <w:lang w:val="en-GB"/>
        </w:rPr>
        <w:t xml:space="preserve"> and per record are as follow:</w:t>
      </w:r>
    </w:p>
    <w:p w14:paraId="3B278CFA" w14:textId="3FFB8695" w:rsidR="0038029C" w:rsidRPr="009C7974" w:rsidRDefault="00720E78" w:rsidP="0038029C">
      <w:pPr>
        <w:spacing w:before="0"/>
        <w:ind w:firstLine="720"/>
        <w:jc w:val="both"/>
        <w:rPr>
          <w:rFonts w:ascii="Arial" w:hAnsi="Arial" w:cs="Arial"/>
          <w:sz w:val="20"/>
          <w:lang w:val="en-GB"/>
        </w:rPr>
      </w:pPr>
      <w:r>
        <w:rPr>
          <w:rFonts w:ascii="Arial" w:hAnsi="Arial" w:cs="Arial"/>
          <w:noProof/>
          <w:sz w:val="20"/>
        </w:rPr>
        <w:lastRenderedPageBreak/>
        <w:pict w14:anchorId="69DA7B9E">
          <v:shape id="Chart 2" o:spid="_x0000_i1026" type="#_x0000_t75" style="width:417pt;height:260.25pt;visibility:visible"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">
            <v:imagedata r:id="rId10" o:title=""/>
            <o:lock v:ext="edit" aspectratio="f"/>
          </v:shape>
        </w:pict>
      </w:r>
    </w:p>
    <w:p w14:paraId="7758284F" w14:textId="77777777" w:rsidR="0038029C" w:rsidRPr="009C7974" w:rsidRDefault="0038029C" w:rsidP="0038029C">
      <w:pPr>
        <w:spacing w:before="0"/>
        <w:jc w:val="both"/>
        <w:rPr>
          <w:rFonts w:ascii="Arial" w:hAnsi="Arial" w:cs="Arial"/>
          <w:sz w:val="20"/>
          <w:lang w:val="en-GB"/>
        </w:rPr>
      </w:pPr>
    </w:p>
    <w:p w14:paraId="462B64E8" w14:textId="77777777" w:rsidR="0038029C" w:rsidRPr="0038029C" w:rsidRDefault="0038029C" w:rsidP="0038029C">
      <w:pPr>
        <w:suppressLineNumbers/>
        <w:ind w:left="720"/>
        <w:rPr>
          <w:szCs w:val="24"/>
          <w:lang w:val="en-GB"/>
        </w:rPr>
      </w:pPr>
      <w:r w:rsidRPr="0038029C">
        <w:rPr>
          <w:szCs w:val="24"/>
          <w:lang w:val="en-GB"/>
        </w:rPr>
        <w:t>However, the actual number of OBOOK records to be exchanged will be much less than the numbers shown above, due to a limited data subset required rather than the full data set.</w:t>
      </w:r>
    </w:p>
    <w:p w14:paraId="15376B9E" w14:textId="77777777" w:rsidR="0038029C" w:rsidRPr="00F16725" w:rsidRDefault="0038029C" w:rsidP="0038029C">
      <w:pPr>
        <w:numPr>
          <w:ilvl w:val="0"/>
          <w:numId w:val="10"/>
        </w:numPr>
        <w:suppressLineNumbers/>
        <w:rPr>
          <w:b/>
          <w:bCs/>
          <w:szCs w:val="24"/>
          <w:lang w:val="en-GB"/>
        </w:rPr>
      </w:pPr>
      <w:r w:rsidRPr="00F16725">
        <w:rPr>
          <w:b/>
          <w:bCs/>
          <w:szCs w:val="24"/>
          <w:lang w:val="en-GB"/>
        </w:rPr>
        <w:t xml:space="preserve">Sponsors and adopters: </w:t>
      </w:r>
    </w:p>
    <w:p w14:paraId="74D22BCA" w14:textId="2F66C8F0" w:rsidR="0038029C" w:rsidRPr="0038029C" w:rsidRDefault="0038029C" w:rsidP="0038029C">
      <w:pPr>
        <w:suppressLineNumbers/>
        <w:ind w:left="720"/>
        <w:rPr>
          <w:szCs w:val="24"/>
          <w:lang w:val="en-GB"/>
        </w:rPr>
      </w:pPr>
      <w:r w:rsidRPr="0038029C">
        <w:rPr>
          <w:szCs w:val="24"/>
          <w:lang w:val="en-GB"/>
        </w:rPr>
        <w:t>The OBOOK message will be used by NCA’s</w:t>
      </w:r>
    </w:p>
    <w:p w14:paraId="1D4B4DD1" w14:textId="77777777" w:rsidR="00427966" w:rsidRDefault="00427966" w:rsidP="003F666C">
      <w:pPr>
        <w:numPr>
          <w:ilvl w:val="0"/>
          <w:numId w:val="8"/>
        </w:numPr>
        <w:suppressLineNumbers/>
        <w:rPr>
          <w:b/>
          <w:szCs w:val="24"/>
          <w:lang w:val="en-GB"/>
        </w:rPr>
      </w:pPr>
      <w:r>
        <w:rPr>
          <w:b/>
          <w:szCs w:val="24"/>
          <w:lang w:val="en-GB"/>
        </w:rPr>
        <w:t>Timing and development:</w:t>
      </w:r>
    </w:p>
    <w:p w14:paraId="42A18C8C" w14:textId="77777777" w:rsidR="0038029C" w:rsidRPr="009C7974" w:rsidRDefault="0038029C" w:rsidP="0038029C">
      <w:pPr>
        <w:rPr>
          <w:lang w:val="en-GB"/>
        </w:rPr>
      </w:pPr>
      <w:r w:rsidRPr="009C7974">
        <w:rPr>
          <w:lang w:val="en-GB"/>
        </w:rPr>
        <w:t xml:space="preserve">The submitting organisation </w:t>
      </w:r>
      <w:r>
        <w:rPr>
          <w:lang w:val="en-GB"/>
        </w:rPr>
        <w:t>expect to have the message for t</w:t>
      </w:r>
      <w:r w:rsidRPr="009C7974">
        <w:rPr>
          <w:lang w:val="en-GB"/>
        </w:rPr>
        <w:t xml:space="preserve">he OBOOK, on </w:t>
      </w:r>
      <w:r>
        <w:rPr>
          <w:lang w:val="en-GB"/>
        </w:rPr>
        <w:t>Q1</w:t>
      </w:r>
      <w:r w:rsidRPr="009C7974">
        <w:rPr>
          <w:lang w:val="en-GB"/>
        </w:rPr>
        <w:t xml:space="preserve"> 2023.</w:t>
      </w:r>
    </w:p>
    <w:p w14:paraId="64C677D8"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2CF07F4C" w14:textId="61BB832F" w:rsidR="00170605" w:rsidRDefault="00170605" w:rsidP="005D2709">
      <w:pPr>
        <w:suppressLineNumbers/>
        <w:rPr>
          <w:szCs w:val="24"/>
          <w:lang w:val="en-GB"/>
        </w:rPr>
      </w:pPr>
      <w:r>
        <w:rPr>
          <w:szCs w:val="24"/>
          <w:lang w:val="en-GB"/>
        </w:rPr>
        <w:t xml:space="preserve">The submitting </w:t>
      </w:r>
      <w:r w:rsidR="001F7568">
        <w:rPr>
          <w:szCs w:val="24"/>
          <w:lang w:val="en-GB"/>
        </w:rPr>
        <w:t>organisation</w:t>
      </w:r>
      <w:r>
        <w:rPr>
          <w:szCs w:val="24"/>
          <w:lang w:val="en-GB"/>
        </w:rPr>
        <w:t xml:space="preserve"> confirm</w:t>
      </w:r>
      <w:r w:rsidR="00F16725">
        <w:rPr>
          <w:szCs w:val="24"/>
          <w:lang w:val="en-GB"/>
        </w:rPr>
        <w:t>s</w:t>
      </w:r>
      <w:r w:rsidR="00A22908">
        <w:rPr>
          <w:szCs w:val="24"/>
          <w:lang w:val="en-GB"/>
        </w:rPr>
        <w:t xml:space="preserve"> that it </w:t>
      </w:r>
      <w:r w:rsidR="007B5DC1">
        <w:rPr>
          <w:szCs w:val="24"/>
          <w:lang w:val="en-GB"/>
        </w:rPr>
        <w:t xml:space="preserve">can and </w:t>
      </w:r>
      <w:r w:rsidR="000E4A97">
        <w:rPr>
          <w:szCs w:val="24"/>
          <w:lang w:val="en-GB"/>
        </w:rPr>
        <w:t>will</w:t>
      </w:r>
      <w:r>
        <w:rPr>
          <w:szCs w:val="24"/>
          <w:lang w:val="en-GB"/>
        </w:rPr>
        <w:t>:</w:t>
      </w:r>
    </w:p>
    <w:p w14:paraId="21505AAE" w14:textId="77777777" w:rsidR="00A1115E" w:rsidRDefault="00A1115E" w:rsidP="005D2709">
      <w:pPr>
        <w:numPr>
          <w:ilvl w:val="0"/>
          <w:numId w:val="5"/>
        </w:numPr>
        <w:suppressLineNumbers/>
        <w:rPr>
          <w:szCs w:val="24"/>
          <w:lang w:val="en-GB"/>
        </w:rPr>
      </w:pPr>
      <w:r>
        <w:rPr>
          <w:szCs w:val="24"/>
          <w:lang w:val="en-GB"/>
        </w:rPr>
        <w:t xml:space="preserve">undertake the development of </w:t>
      </w:r>
      <w:r w:rsidR="00B05D8A">
        <w:rPr>
          <w:szCs w:val="24"/>
          <w:lang w:val="en-GB"/>
        </w:rPr>
        <w:t xml:space="preserve">the </w:t>
      </w:r>
      <w:r>
        <w:rPr>
          <w:szCs w:val="24"/>
          <w:lang w:val="en-GB"/>
        </w:rPr>
        <w:t xml:space="preserve">candidate </w:t>
      </w:r>
      <w:r w:rsidR="003E68C9">
        <w:rPr>
          <w:szCs w:val="24"/>
          <w:lang w:val="en-GB"/>
        </w:rPr>
        <w:t>ISO 20022</w:t>
      </w:r>
      <w:r>
        <w:rPr>
          <w:szCs w:val="24"/>
          <w:lang w:val="en-GB"/>
        </w:rPr>
        <w:t xml:space="preserve"> business and message models </w:t>
      </w:r>
      <w:r w:rsidR="008F141A">
        <w:rPr>
          <w:szCs w:val="24"/>
          <w:lang w:val="en-GB"/>
        </w:rPr>
        <w:t>that it will submit</w:t>
      </w:r>
      <w:r>
        <w:rPr>
          <w:szCs w:val="24"/>
          <w:lang w:val="en-GB"/>
        </w:rPr>
        <w:t xml:space="preserve"> to the RA for compliance review</w:t>
      </w:r>
      <w:r w:rsidR="00B05D8A">
        <w:rPr>
          <w:szCs w:val="24"/>
          <w:lang w:val="en-GB"/>
        </w:rPr>
        <w:t xml:space="preserve"> and evaluation</w:t>
      </w:r>
      <w:r w:rsidR="00A23224">
        <w:rPr>
          <w:szCs w:val="24"/>
          <w:lang w:val="en-GB"/>
        </w:rPr>
        <w:t>.</w:t>
      </w:r>
      <w:r w:rsidR="00F82982">
        <w:rPr>
          <w:szCs w:val="24"/>
          <w:lang w:val="en-GB"/>
        </w:rPr>
        <w:t xml:space="preserve"> </w:t>
      </w:r>
      <w:r w:rsidR="00A23224">
        <w:rPr>
          <w:szCs w:val="24"/>
          <w:lang w:val="en-GB"/>
        </w:rPr>
        <w:t>T</w:t>
      </w:r>
      <w:r w:rsidR="00F82982">
        <w:rPr>
          <w:szCs w:val="24"/>
          <w:lang w:val="en-GB"/>
        </w:rPr>
        <w:t xml:space="preserve">he submission must </w:t>
      </w:r>
      <w:r w:rsidR="00A0048E">
        <w:rPr>
          <w:szCs w:val="24"/>
          <w:lang w:val="en-GB"/>
        </w:rPr>
        <w:t xml:space="preserve">be compliant with the </w:t>
      </w:r>
      <w:hyperlink r:id="rId11" w:tooltip="http://www.iso20022.org/documents/general/ISO20022_MasterRules.ZIP" w:history="1">
        <w:r w:rsidR="00A0048E" w:rsidRPr="00A0048E">
          <w:rPr>
            <w:rStyle w:val="Hyperlink"/>
            <w:szCs w:val="24"/>
            <w:lang w:val="en-GB"/>
          </w:rPr>
          <w:t>ISO 20022 Master Rules</w:t>
        </w:r>
      </w:hyperlink>
      <w:r w:rsidR="00A0048E">
        <w:rPr>
          <w:szCs w:val="24"/>
          <w:lang w:val="en-GB"/>
        </w:rPr>
        <w:t xml:space="preserve"> and </w:t>
      </w:r>
      <w:r w:rsidR="00F82982">
        <w:rPr>
          <w:szCs w:val="24"/>
          <w:lang w:val="en-GB"/>
        </w:rPr>
        <w:t xml:space="preserve">include </w:t>
      </w:r>
      <w:r w:rsidR="00A0048E">
        <w:rPr>
          <w:szCs w:val="24"/>
          <w:lang w:val="en-GB"/>
        </w:rPr>
        <w:t xml:space="preserve">a draft Part 1 of the Message Definition Report (MDR) compliant with the </w:t>
      </w:r>
      <w:hyperlink r:id="rId12" w:tooltip="http://www.iso20022.org/documents/general/ISO20022_MasterRules.ZIP" w:history="1">
        <w:r w:rsidR="00A0048E" w:rsidRPr="00A0048E">
          <w:rPr>
            <w:rStyle w:val="Hyperlink"/>
            <w:szCs w:val="24"/>
            <w:lang w:val="en-GB"/>
          </w:rPr>
          <w:t>template for MDR part</w:t>
        </w:r>
        <w:r w:rsidR="00A0048E">
          <w:rPr>
            <w:rStyle w:val="Hyperlink"/>
            <w:szCs w:val="24"/>
            <w:lang w:val="en-GB"/>
          </w:rPr>
          <w:t xml:space="preserve"> </w:t>
        </w:r>
        <w:r w:rsidR="00A0048E" w:rsidRPr="00A0048E">
          <w:rPr>
            <w:rStyle w:val="Hyperlink"/>
            <w:szCs w:val="24"/>
            <w:lang w:val="en-GB"/>
          </w:rPr>
          <w:t>1</w:t>
        </w:r>
      </w:hyperlink>
      <w:r w:rsidR="00A0048E">
        <w:rPr>
          <w:szCs w:val="24"/>
          <w:lang w:val="en-GB"/>
        </w:rPr>
        <w:t xml:space="preserve"> provided by the RA,</w:t>
      </w:r>
      <w:r w:rsidR="00A23224">
        <w:rPr>
          <w:szCs w:val="24"/>
        </w:rPr>
        <w:t xml:space="preserve"> </w:t>
      </w:r>
      <w:r w:rsidR="00A0048E">
        <w:rPr>
          <w:szCs w:val="24"/>
        </w:rPr>
        <w:t xml:space="preserve">the </w:t>
      </w:r>
      <w:hyperlink r:id="rId13" w:tooltip="http://www.iso20022.org/documents/general/MessageTranportModes.xls" w:history="1">
        <w:r w:rsidR="00A0048E" w:rsidRPr="00935271">
          <w:rPr>
            <w:rStyle w:val="Hyperlink"/>
            <w:szCs w:val="24"/>
          </w:rPr>
          <w:t>ISO 20022 Message Transport Mode</w:t>
        </w:r>
      </w:hyperlink>
      <w:r w:rsidR="00A0048E">
        <w:rPr>
          <w:szCs w:val="24"/>
        </w:rPr>
        <w:t xml:space="preserve"> (MTM)</w:t>
      </w:r>
      <w:r w:rsidR="00B311FF">
        <w:rPr>
          <w:szCs w:val="24"/>
        </w:rPr>
        <w:t xml:space="preserve"> that the submitting organization recommends to consider </w:t>
      </w:r>
      <w:r w:rsidR="00A0048E">
        <w:rPr>
          <w:szCs w:val="24"/>
        </w:rPr>
        <w:t xml:space="preserve">with the submitted message set, </w:t>
      </w:r>
      <w:r w:rsidR="00782E65" w:rsidRPr="00782E65">
        <w:rPr>
          <w:szCs w:val="24"/>
        </w:rPr>
        <w:t>and, optionally, examples of valid and invalid instances of each candidate message</w:t>
      </w:r>
      <w:r w:rsidR="000E458D">
        <w:rPr>
          <w:szCs w:val="24"/>
        </w:rPr>
        <w:t xml:space="preserve">. The submission may also include a Message User Guide (MUG) to complement the MDR and describe in further details how to use the different possibilities/options of the proposed candidate </w:t>
      </w:r>
      <w:proofErr w:type="gramStart"/>
      <w:r w:rsidR="000E458D">
        <w:rPr>
          <w:szCs w:val="24"/>
        </w:rPr>
        <w:t>messages</w:t>
      </w:r>
      <w:r w:rsidR="00A23224">
        <w:rPr>
          <w:szCs w:val="24"/>
        </w:rPr>
        <w:t>;</w:t>
      </w:r>
      <w:proofErr w:type="gramEnd"/>
      <w:r w:rsidR="00F82982">
        <w:rPr>
          <w:szCs w:val="24"/>
          <w:lang w:val="en-GB"/>
        </w:rPr>
        <w:t xml:space="preserve"> </w:t>
      </w:r>
    </w:p>
    <w:p w14:paraId="22B39769" w14:textId="77777777" w:rsidR="00A1115E" w:rsidRDefault="00B05D8A" w:rsidP="005D2709">
      <w:pPr>
        <w:numPr>
          <w:ilvl w:val="0"/>
          <w:numId w:val="5"/>
        </w:numPr>
        <w:suppressLineNumbers/>
        <w:rPr>
          <w:szCs w:val="24"/>
          <w:lang w:val="en-GB"/>
        </w:rPr>
      </w:pPr>
      <w:r>
        <w:rPr>
          <w:szCs w:val="24"/>
          <w:lang w:val="en-GB"/>
        </w:rPr>
        <w:t xml:space="preserve">address any queries related to the description of the models and messages as published by the RA on the </w:t>
      </w:r>
      <w:r w:rsidR="003E68C9">
        <w:rPr>
          <w:szCs w:val="24"/>
          <w:lang w:val="en-GB"/>
        </w:rPr>
        <w:t>ISO 20022</w:t>
      </w:r>
      <w:r>
        <w:rPr>
          <w:szCs w:val="24"/>
          <w:lang w:val="en-GB"/>
        </w:rPr>
        <w:t xml:space="preserve"> website.</w:t>
      </w:r>
    </w:p>
    <w:p w14:paraId="21E5AD89" w14:textId="77777777" w:rsidR="00F16725" w:rsidRPr="00F16725" w:rsidRDefault="00F16725" w:rsidP="00F16725">
      <w:pPr>
        <w:suppressLineNumbers/>
        <w:rPr>
          <w:szCs w:val="24"/>
          <w:lang w:val="en-GB"/>
        </w:rPr>
      </w:pPr>
      <w:r w:rsidRPr="00F16725">
        <w:rPr>
          <w:szCs w:val="24"/>
          <w:lang w:val="en-GB"/>
        </w:rPr>
        <w:t>The submitting organisation confirms that:</w:t>
      </w:r>
    </w:p>
    <w:p w14:paraId="033F19B8" w14:textId="77777777" w:rsidR="00F16725" w:rsidRPr="00F16725" w:rsidRDefault="00F16725" w:rsidP="00F16725">
      <w:pPr>
        <w:numPr>
          <w:ilvl w:val="0"/>
          <w:numId w:val="5"/>
        </w:numPr>
        <w:suppressLineNumbers/>
        <w:rPr>
          <w:szCs w:val="24"/>
          <w:lang w:val="en-GB"/>
        </w:rPr>
      </w:pPr>
      <w:r w:rsidRPr="00F16725">
        <w:rPr>
          <w:szCs w:val="24"/>
          <w:lang w:val="en-GB"/>
        </w:rPr>
        <w:t xml:space="preserve">it will inform and consult the market on the transaction reporting messages but it does not intend to organize any testing of the candidate messages once they have been </w:t>
      </w:r>
      <w:r w:rsidRPr="00F16725">
        <w:rPr>
          <w:szCs w:val="24"/>
          <w:lang w:val="en-GB"/>
        </w:rPr>
        <w:lastRenderedPageBreak/>
        <w:t xml:space="preserve">reviewed and qualified by the RA and before their submission to the SEG(s) for approval. </w:t>
      </w:r>
    </w:p>
    <w:p w14:paraId="26CA5D1F" w14:textId="77777777" w:rsidR="00F16725" w:rsidRPr="00F16725" w:rsidRDefault="00F16725" w:rsidP="00F16725">
      <w:pPr>
        <w:numPr>
          <w:ilvl w:val="0"/>
          <w:numId w:val="5"/>
        </w:numPr>
        <w:suppressLineNumbers/>
        <w:rPr>
          <w:szCs w:val="24"/>
          <w:lang w:val="en-GB"/>
        </w:rPr>
      </w:pPr>
      <w:r w:rsidRPr="00F16725">
        <w:rPr>
          <w:szCs w:val="24"/>
          <w:lang w:val="en-GB"/>
        </w:rPr>
        <w:t xml:space="preserve">It is committed to undertake the future message maintenance. </w:t>
      </w:r>
    </w:p>
    <w:p w14:paraId="3C63275C" w14:textId="77777777" w:rsidR="00F16725" w:rsidRDefault="00F16725" w:rsidP="00F16725">
      <w:pPr>
        <w:rPr>
          <w:lang w:val="en-GB"/>
        </w:rPr>
      </w:pPr>
      <w:r w:rsidRPr="009C7974">
        <w:rPr>
          <w:lang w:val="en-GB"/>
        </w:rPr>
        <w:t>The submitting organisation confirms the knowledge and acceptance of the ISO 20022 Intellectual Property Rights policy for contributing organisations, as follows:</w:t>
      </w:r>
    </w:p>
    <w:p w14:paraId="758B1794" w14:textId="77777777" w:rsidR="008F141A" w:rsidRDefault="008F141A" w:rsidP="005D2709">
      <w:pPr>
        <w:suppressLineNumbers/>
        <w:rPr>
          <w:b/>
          <w:szCs w:val="24"/>
          <w:lang w:val="en-GB"/>
        </w:rPr>
      </w:pPr>
      <w:r w:rsidRPr="005D06FE">
        <w:rPr>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sidRPr="005D06FE">
        <w:rPr>
          <w:i/>
        </w:rPr>
        <w:t>in accordance with the rules set in ISO 20022</w:t>
      </w:r>
      <w:r w:rsidRPr="005D06FE">
        <w:rPr>
          <w:i/>
          <w:snapToGrid w:val="0"/>
        </w:rPr>
        <w:t>. T</w:t>
      </w:r>
      <w:r w:rsidRPr="005D06FE">
        <w:rPr>
          <w:i/>
        </w:rPr>
        <w:t xml:space="preserve">o ascertain a widespread, </w:t>
      </w:r>
      <w:proofErr w:type="gramStart"/>
      <w:r w:rsidRPr="005D06FE">
        <w:rPr>
          <w:i/>
        </w:rPr>
        <w:t>public</w:t>
      </w:r>
      <w:proofErr w:type="gramEnd"/>
      <w:r w:rsidRPr="005D06FE">
        <w:rPr>
          <w:i/>
        </w:rPr>
        <w:t xml:space="preserve"> and uniform use of the ISO 20022 Repository information, t</w:t>
      </w:r>
      <w:r w:rsidRPr="005D06FE">
        <w:rPr>
          <w:i/>
          <w:snapToGrid w:val="0"/>
        </w:rPr>
        <w:t xml:space="preserve">he contributing organization </w:t>
      </w:r>
      <w:r w:rsidRPr="005D06FE">
        <w:rPr>
          <w:i/>
        </w:rPr>
        <w:t xml:space="preserve">grants third parties a non-exclusive, royalty-free </w:t>
      </w:r>
      <w:proofErr w:type="spellStart"/>
      <w:r w:rsidRPr="005D06FE">
        <w:rPr>
          <w:i/>
        </w:rPr>
        <w:t>licence</w:t>
      </w:r>
      <w:proofErr w:type="spellEnd"/>
      <w:r w:rsidRPr="005D06FE">
        <w:rPr>
          <w:i/>
        </w:rPr>
        <w:t xml:space="preserve"> to use the published information”</w:t>
      </w:r>
      <w:r w:rsidRPr="005D06FE">
        <w:rPr>
          <w:i/>
          <w:snapToGrid w:val="0"/>
        </w:rPr>
        <w:t>.</w:t>
      </w:r>
      <w:r>
        <w:rPr>
          <w:szCs w:val="24"/>
          <w:lang w:val="en-GB"/>
        </w:rPr>
        <w:t xml:space="preserve"> </w:t>
      </w:r>
    </w:p>
    <w:p w14:paraId="741490C2" w14:textId="74A37B75" w:rsidR="00723DE0" w:rsidRPr="00F16725" w:rsidRDefault="00723DE0" w:rsidP="003F666C">
      <w:pPr>
        <w:numPr>
          <w:ilvl w:val="0"/>
          <w:numId w:val="8"/>
        </w:numPr>
        <w:suppressLineNumbers/>
        <w:rPr>
          <w:szCs w:val="24"/>
          <w:lang w:val="en-GB"/>
        </w:rPr>
      </w:pPr>
      <w:r>
        <w:rPr>
          <w:b/>
          <w:szCs w:val="24"/>
          <w:lang w:val="en-GB"/>
        </w:rPr>
        <w:t>Contact persons:</w:t>
      </w:r>
    </w:p>
    <w:p w14:paraId="3EC41CCF" w14:textId="77777777" w:rsidR="00F16725" w:rsidRDefault="00F16725" w:rsidP="00F16725">
      <w:pPr>
        <w:rPr>
          <w:lang w:val="en-GB"/>
        </w:rPr>
      </w:pPr>
    </w:p>
    <w:p w14:paraId="5F59E841" w14:textId="77777777" w:rsidR="00F16725" w:rsidRPr="00F16725" w:rsidRDefault="00F16725" w:rsidP="00F16725">
      <w:pPr>
        <w:numPr>
          <w:ilvl w:val="0"/>
          <w:numId w:val="5"/>
        </w:numPr>
        <w:suppressLineNumbers/>
        <w:rPr>
          <w:szCs w:val="24"/>
          <w:lang w:val="en-GB"/>
        </w:rPr>
      </w:pPr>
      <w:proofErr w:type="spellStart"/>
      <w:r w:rsidRPr="00F16725">
        <w:rPr>
          <w:szCs w:val="24"/>
          <w:lang w:val="en-GB"/>
        </w:rPr>
        <w:t>Kalomoiris</w:t>
      </w:r>
      <w:proofErr w:type="spellEnd"/>
      <w:r w:rsidRPr="00F16725">
        <w:rPr>
          <w:szCs w:val="24"/>
          <w:lang w:val="en-GB"/>
        </w:rPr>
        <w:t xml:space="preserve"> Konstantinos</w:t>
      </w:r>
    </w:p>
    <w:p w14:paraId="172FE9A5" w14:textId="77777777" w:rsidR="00F16725" w:rsidRPr="00F16725" w:rsidRDefault="00720E78" w:rsidP="00F16725">
      <w:pPr>
        <w:spacing w:before="0"/>
        <w:ind w:left="720"/>
        <w:jc w:val="both"/>
        <w:rPr>
          <w:szCs w:val="24"/>
          <w:lang w:val="en-GB"/>
        </w:rPr>
      </w:pPr>
      <w:hyperlink r:id="rId14" w:history="1">
        <w:r w:rsidR="00F16725" w:rsidRPr="00F16725">
          <w:rPr>
            <w:rStyle w:val="Hyperlink"/>
            <w:szCs w:val="24"/>
            <w:lang w:val="en-GB"/>
          </w:rPr>
          <w:t>konstantinos.kalomoiris@esma.europa.eu</w:t>
        </w:r>
      </w:hyperlink>
    </w:p>
    <w:p w14:paraId="2423253A" w14:textId="77777777" w:rsidR="00F16725" w:rsidRPr="00F16725" w:rsidRDefault="00F16725" w:rsidP="00F16725">
      <w:pPr>
        <w:spacing w:before="0"/>
        <w:jc w:val="both"/>
        <w:rPr>
          <w:szCs w:val="24"/>
          <w:lang w:val="en-GB"/>
        </w:rPr>
      </w:pPr>
    </w:p>
    <w:p w14:paraId="7357E414" w14:textId="77777777" w:rsidR="00F16725" w:rsidRPr="00F16725" w:rsidRDefault="00F16725" w:rsidP="00F16725">
      <w:pPr>
        <w:numPr>
          <w:ilvl w:val="0"/>
          <w:numId w:val="5"/>
        </w:numPr>
        <w:suppressLineNumbers/>
        <w:rPr>
          <w:szCs w:val="24"/>
          <w:lang w:val="en-GB"/>
        </w:rPr>
      </w:pPr>
      <w:proofErr w:type="spellStart"/>
      <w:r w:rsidRPr="00F16725">
        <w:rPr>
          <w:szCs w:val="24"/>
          <w:lang w:val="en-GB"/>
        </w:rPr>
        <w:t>Gosso</w:t>
      </w:r>
      <w:proofErr w:type="spellEnd"/>
      <w:r w:rsidRPr="00F16725">
        <w:rPr>
          <w:szCs w:val="24"/>
          <w:lang w:val="en-GB"/>
        </w:rPr>
        <w:t xml:space="preserve"> Stephanie</w:t>
      </w:r>
    </w:p>
    <w:p w14:paraId="0DD5D472" w14:textId="0F5F67CF" w:rsidR="00F16725" w:rsidRPr="00F16725" w:rsidRDefault="00720E78" w:rsidP="00F16725">
      <w:pPr>
        <w:spacing w:before="0"/>
        <w:ind w:firstLine="720"/>
        <w:jc w:val="both"/>
        <w:rPr>
          <w:szCs w:val="24"/>
          <w:lang w:val="en-GB"/>
        </w:rPr>
      </w:pPr>
      <w:hyperlink r:id="rId15" w:history="1">
        <w:r w:rsidR="00F16725" w:rsidRPr="00370754">
          <w:rPr>
            <w:rStyle w:val="Hyperlink"/>
            <w:szCs w:val="24"/>
            <w:lang w:val="en-GB"/>
          </w:rPr>
          <w:t>stephanie.gosso@esma.europa.eu</w:t>
        </w:r>
      </w:hyperlink>
    </w:p>
    <w:p w14:paraId="5F43D295" w14:textId="77777777" w:rsidR="00F16725" w:rsidRPr="009C7974" w:rsidRDefault="00F16725" w:rsidP="00F16725">
      <w:pPr>
        <w:spacing w:before="0"/>
        <w:jc w:val="both"/>
        <w:rPr>
          <w:rFonts w:ascii="Arial" w:hAnsi="Arial" w:cs="Arial"/>
          <w:sz w:val="20"/>
          <w:lang w:val="en-GB"/>
        </w:rPr>
      </w:pPr>
    </w:p>
    <w:p w14:paraId="78B9142A" w14:textId="77777777" w:rsidR="008F141A" w:rsidRDefault="008F141A" w:rsidP="005D2709">
      <w:pPr>
        <w:suppressLineNumbers/>
        <w:rPr>
          <w:szCs w:val="24"/>
          <w:lang w:val="en-GB"/>
        </w:rPr>
      </w:pPr>
    </w:p>
    <w:p w14:paraId="6F47874A" w14:textId="77777777" w:rsidR="007D76AA" w:rsidRDefault="007D76AA" w:rsidP="003F666C">
      <w:pPr>
        <w:numPr>
          <w:ilvl w:val="0"/>
          <w:numId w:val="8"/>
        </w:numPr>
        <w:suppressLineNumbers/>
        <w:rPr>
          <w:b/>
          <w:szCs w:val="24"/>
          <w:lang w:val="en-GB"/>
        </w:rPr>
      </w:pPr>
      <w:r w:rsidRPr="007D76AA">
        <w:rPr>
          <w:b/>
          <w:szCs w:val="24"/>
          <w:lang w:val="en-GB"/>
        </w:rPr>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w:t>
      </w:r>
      <w:proofErr w:type="spellStart"/>
      <w:r w:rsidR="002C4418">
        <w:rPr>
          <w:b/>
          <w:szCs w:val="24"/>
          <w:lang w:val="en-GB"/>
        </w:rPr>
        <w:t>SubSEG</w:t>
      </w:r>
      <w:proofErr w:type="spellEnd"/>
      <w:r w:rsidR="002C4418">
        <w:rPr>
          <w:b/>
          <w:szCs w:val="24"/>
          <w:lang w:val="en-GB"/>
        </w:rPr>
        <w:t xml:space="preserve">(s)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261E21CA"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w:t>
      </w:r>
      <w:proofErr w:type="spellStart"/>
      <w:r w:rsidR="002C4418">
        <w:rPr>
          <w:szCs w:val="24"/>
          <w:lang w:val="en-GB"/>
        </w:rPr>
        <w:t>SubSEG</w:t>
      </w:r>
      <w:proofErr w:type="spellEnd"/>
      <w:r w:rsidR="002C4418">
        <w:rPr>
          <w:szCs w:val="24"/>
          <w:lang w:val="en-GB"/>
        </w:rPr>
        <w:t>(s)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6D02F841" w14:textId="77777777" w:rsidR="008F141A" w:rsidRDefault="008F141A" w:rsidP="005D2709">
      <w:pPr>
        <w:suppressLineNumbers/>
        <w:rPr>
          <w:b/>
          <w:szCs w:val="24"/>
          <w:lang w:val="en-GB"/>
        </w:rPr>
      </w:pPr>
    </w:p>
    <w:p w14:paraId="25FAC675" w14:textId="77777777" w:rsidR="007D76AA" w:rsidRPr="007D76AA" w:rsidRDefault="007D76AA" w:rsidP="005D2709">
      <w:pPr>
        <w:suppressLineNumbers/>
        <w:rPr>
          <w:szCs w:val="24"/>
          <w:lang w:val="en-GB"/>
        </w:rPr>
      </w:pPr>
    </w:p>
    <w:sectPr w:rsidR="007D76AA" w:rsidRPr="007D76AA" w:rsidSect="00D5066D">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7E69" w14:textId="77777777" w:rsidR="006A4783" w:rsidRDefault="006A4783">
      <w:r>
        <w:separator/>
      </w:r>
    </w:p>
  </w:endnote>
  <w:endnote w:type="continuationSeparator" w:id="0">
    <w:p w14:paraId="1B9B4921" w14:textId="77777777" w:rsidR="006A4783" w:rsidRDefault="006A4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FD88E" w14:textId="77777777" w:rsidR="005008CF" w:rsidRDefault="00500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D004" w14:textId="71089DC4" w:rsidR="00471CE5" w:rsidRDefault="00720E78">
    <w:pPr>
      <w:pStyle w:val="Footer"/>
      <w:rPr>
        <w:rStyle w:val="PageNumber"/>
        <w:noProof/>
      </w:rPr>
    </w:pPr>
    <w:r>
      <w:fldChar w:fldCharType="begin"/>
    </w:r>
    <w:r>
      <w:instrText xml:space="preserve"> FILENAME </w:instrText>
    </w:r>
    <w:r>
      <w:fldChar w:fldCharType="separate"/>
    </w:r>
    <w:r>
      <w:rPr>
        <w:noProof/>
      </w:rPr>
      <w:t>216_ISO20022_BJ_ESMA_OrderBookDataExchange_v2_1.docx</w:t>
    </w:r>
    <w:r>
      <w:rPr>
        <w:noProof/>
      </w:rPr>
      <w:fldChar w:fldCharType="end"/>
    </w:r>
    <w:r w:rsidR="006A516B">
      <w:t xml:space="preserve">     </w:t>
    </w:r>
    <w:r w:rsidR="00471CE5">
      <w:t xml:space="preserve">Produced by </w:t>
    </w:r>
    <w:r w:rsidR="006A516B">
      <w:t>ESMA</w:t>
    </w:r>
    <w:r w:rsidR="00471CE5">
      <w:tab/>
      <w:t xml:space="preserve">Page </w:t>
    </w:r>
    <w:r w:rsidR="00471CE5">
      <w:rPr>
        <w:rStyle w:val="PageNumber"/>
      </w:rPr>
      <w:fldChar w:fldCharType="begin"/>
    </w:r>
    <w:r w:rsidR="00471CE5">
      <w:rPr>
        <w:rStyle w:val="PageNumber"/>
      </w:rPr>
      <w:instrText xml:space="preserve"> PAGE </w:instrText>
    </w:r>
    <w:r w:rsidR="00471CE5">
      <w:rPr>
        <w:rStyle w:val="PageNumber"/>
      </w:rPr>
      <w:fldChar w:fldCharType="separate"/>
    </w:r>
    <w:r w:rsidR="007E48C5">
      <w:rPr>
        <w:rStyle w:val="PageNumber"/>
        <w:noProof/>
      </w:rPr>
      <w:t>2</w:t>
    </w:r>
    <w:r w:rsidR="00471CE5">
      <w:rPr>
        <w:rStyle w:val="PageNumber"/>
      </w:rPr>
      <w:fldChar w:fldCharType="end"/>
    </w:r>
  </w:p>
  <w:p w14:paraId="3990FF52" w14:textId="77777777" w:rsidR="00471CE5" w:rsidRDefault="00471CE5" w:rsidP="00EF6661">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154EB" w14:textId="77777777" w:rsidR="005008CF" w:rsidRDefault="0050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9C3F43" w14:textId="77777777" w:rsidR="006A4783" w:rsidRDefault="006A4783">
      <w:r>
        <w:separator/>
      </w:r>
    </w:p>
  </w:footnote>
  <w:footnote w:type="continuationSeparator" w:id="0">
    <w:p w14:paraId="4AD24AE5" w14:textId="77777777" w:rsidR="006A4783" w:rsidRDefault="006A4783">
      <w:r>
        <w:continuationSeparator/>
      </w:r>
    </w:p>
  </w:footnote>
  <w:footnote w:id="1">
    <w:p w14:paraId="49D90EF3" w14:textId="77777777" w:rsidR="0038029C" w:rsidRPr="00614FC8" w:rsidRDefault="0038029C" w:rsidP="0038029C">
      <w:pPr>
        <w:pStyle w:val="FootnoteText"/>
        <w:spacing w:before="0" w:after="0" w:afterAutospacing="0"/>
        <w:rPr>
          <w:rFonts w:ascii="Arial" w:hAnsi="Arial" w:cs="Arial"/>
          <w:sz w:val="18"/>
          <w:szCs w:val="18"/>
          <w:lang w:val="en-GB"/>
        </w:rPr>
      </w:pPr>
      <w:r>
        <w:rPr>
          <w:rStyle w:val="FootnoteReference"/>
        </w:rPr>
        <w:footnoteRef/>
      </w:r>
      <w:r>
        <w:t xml:space="preserve"> </w:t>
      </w:r>
      <w:r w:rsidRPr="00614FC8">
        <w:rPr>
          <w:rFonts w:ascii="Arial" w:hAnsi="Arial" w:cs="Arial"/>
          <w:sz w:val="18"/>
          <w:szCs w:val="18"/>
          <w:lang w:val="en-GB"/>
        </w:rPr>
        <w:t>Official document - COMMISSION DELEGATED REGULATION (EU) 2017/580 of 24 June 2016 - CELEX_32017R0580_EN_TXT</w:t>
      </w:r>
    </w:p>
    <w:p w14:paraId="271F5386" w14:textId="77777777" w:rsidR="0038029C" w:rsidRPr="00614FC8" w:rsidRDefault="00720E78" w:rsidP="0038029C">
      <w:pPr>
        <w:pStyle w:val="FootnoteText"/>
        <w:spacing w:before="0" w:after="0" w:afterAutospacing="0"/>
        <w:rPr>
          <w:rFonts w:ascii="Arial" w:hAnsi="Arial" w:cs="Arial"/>
          <w:sz w:val="18"/>
          <w:szCs w:val="18"/>
          <w:lang w:val="en-GB"/>
        </w:rPr>
      </w:pPr>
      <w:hyperlink r:id="rId1" w:history="1">
        <w:r w:rsidR="0038029C" w:rsidRPr="00614FC8">
          <w:rPr>
            <w:rStyle w:val="Hyperlink"/>
            <w:rFonts w:ascii="Arial" w:hAnsi="Arial" w:cs="Arial"/>
            <w:sz w:val="18"/>
            <w:szCs w:val="18"/>
            <w:lang w:val="en-GB"/>
          </w:rPr>
          <w:t>https://eur-lex.europa.eu/legal-content/AUTO/?uri=CELEX:32017R0580&amp;qid=1652779142831&amp;rid=1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0B13" w14:textId="77777777" w:rsidR="005008CF" w:rsidRDefault="005008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98F0" w14:textId="77777777" w:rsidR="005008CF" w:rsidRDefault="005008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B2F49" w14:textId="77777777" w:rsidR="005008CF" w:rsidRDefault="005008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A83E9B"/>
    <w:multiLevelType w:val="hybridMultilevel"/>
    <w:tmpl w:val="2626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FB5B41"/>
    <w:multiLevelType w:val="hybridMultilevel"/>
    <w:tmpl w:val="4E7C4D4E"/>
    <w:lvl w:ilvl="0" w:tplc="669C0F62">
      <w:numFmt w:val="bullet"/>
      <w:lvlText w:val="•"/>
      <w:lvlJc w:val="left"/>
      <w:pPr>
        <w:ind w:left="720" w:hanging="720"/>
      </w:pPr>
      <w:rPr>
        <w:rFonts w:ascii="Times New Roman" w:eastAsia="Times"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78240C"/>
    <w:multiLevelType w:val="hybridMultilevel"/>
    <w:tmpl w:val="270C4E86"/>
    <w:lvl w:ilvl="0" w:tplc="0809000F">
      <w:start w:val="1"/>
      <w:numFmt w:val="decimal"/>
      <w:lvlText w:val="%1."/>
      <w:lvlJc w:val="left"/>
      <w:pPr>
        <w:tabs>
          <w:tab w:val="num" w:pos="720"/>
        </w:tabs>
        <w:ind w:left="720" w:hanging="360"/>
      </w:pPr>
      <w:rPr>
        <w:rFonts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1F240F"/>
    <w:multiLevelType w:val="hybridMultilevel"/>
    <w:tmpl w:val="97BEBB0A"/>
    <w:lvl w:ilvl="0" w:tplc="669C0F62">
      <w:numFmt w:val="bullet"/>
      <w:lvlText w:val="•"/>
      <w:lvlJc w:val="left"/>
      <w:pPr>
        <w:ind w:left="1080" w:hanging="720"/>
      </w:pPr>
      <w:rPr>
        <w:rFonts w:ascii="Times New Roman" w:eastAsia="Time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5D6711C1"/>
    <w:multiLevelType w:val="hybridMultilevel"/>
    <w:tmpl w:val="A7E0D480"/>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CD030B7"/>
    <w:multiLevelType w:val="hybridMultilevel"/>
    <w:tmpl w:val="0F28D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7621234">
    <w:abstractNumId w:val="2"/>
  </w:num>
  <w:num w:numId="2" w16cid:durableId="252780886">
    <w:abstractNumId w:val="0"/>
  </w:num>
  <w:num w:numId="3" w16cid:durableId="194468113">
    <w:abstractNumId w:val="1"/>
  </w:num>
  <w:num w:numId="4" w16cid:durableId="1245870011">
    <w:abstractNumId w:val="3"/>
  </w:num>
  <w:num w:numId="5" w16cid:durableId="658003002">
    <w:abstractNumId w:val="13"/>
  </w:num>
  <w:num w:numId="6" w16cid:durableId="1996489975">
    <w:abstractNumId w:val="15"/>
  </w:num>
  <w:num w:numId="7" w16cid:durableId="524095136">
    <w:abstractNumId w:val="7"/>
  </w:num>
  <w:num w:numId="8" w16cid:durableId="1444764217">
    <w:abstractNumId w:val="5"/>
  </w:num>
  <w:num w:numId="9" w16cid:durableId="2074891403">
    <w:abstractNumId w:val="11"/>
  </w:num>
  <w:num w:numId="10" w16cid:durableId="570388909">
    <w:abstractNumId w:val="9"/>
  </w:num>
  <w:num w:numId="11" w16cid:durableId="460533677">
    <w:abstractNumId w:val="4"/>
  </w:num>
  <w:num w:numId="12" w16cid:durableId="1614169475">
    <w:abstractNumId w:val="6"/>
  </w:num>
  <w:num w:numId="13" w16cid:durableId="1468812907">
    <w:abstractNumId w:val="10"/>
  </w:num>
  <w:num w:numId="14" w16cid:durableId="1156721412">
    <w:abstractNumId w:val="8"/>
  </w:num>
  <w:num w:numId="15" w16cid:durableId="771124949">
    <w:abstractNumId w:val="14"/>
  </w:num>
  <w:num w:numId="16" w16cid:durableId="16689434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1661"/>
    <w:rsid w:val="000558EF"/>
    <w:rsid w:val="00070308"/>
    <w:rsid w:val="00071E18"/>
    <w:rsid w:val="00080D3A"/>
    <w:rsid w:val="000823AA"/>
    <w:rsid w:val="00082743"/>
    <w:rsid w:val="000837C7"/>
    <w:rsid w:val="00085864"/>
    <w:rsid w:val="000A20E4"/>
    <w:rsid w:val="000A2163"/>
    <w:rsid w:val="000B06B2"/>
    <w:rsid w:val="000B4175"/>
    <w:rsid w:val="000C015D"/>
    <w:rsid w:val="000E2471"/>
    <w:rsid w:val="000E458D"/>
    <w:rsid w:val="000E4A97"/>
    <w:rsid w:val="000E715A"/>
    <w:rsid w:val="000F2ED9"/>
    <w:rsid w:val="000F43E3"/>
    <w:rsid w:val="000F4F69"/>
    <w:rsid w:val="000F65D1"/>
    <w:rsid w:val="00101212"/>
    <w:rsid w:val="00103640"/>
    <w:rsid w:val="0011751D"/>
    <w:rsid w:val="00134A35"/>
    <w:rsid w:val="00137482"/>
    <w:rsid w:val="0014379C"/>
    <w:rsid w:val="00160588"/>
    <w:rsid w:val="00170605"/>
    <w:rsid w:val="00171FC5"/>
    <w:rsid w:val="001742C3"/>
    <w:rsid w:val="00185453"/>
    <w:rsid w:val="001A283A"/>
    <w:rsid w:val="001C0C82"/>
    <w:rsid w:val="001C1E08"/>
    <w:rsid w:val="001C63E9"/>
    <w:rsid w:val="001D0D1B"/>
    <w:rsid w:val="001D176B"/>
    <w:rsid w:val="001D20B3"/>
    <w:rsid w:val="001E1367"/>
    <w:rsid w:val="001E287E"/>
    <w:rsid w:val="001E2B1C"/>
    <w:rsid w:val="001E3BCF"/>
    <w:rsid w:val="001F7568"/>
    <w:rsid w:val="001F7DFF"/>
    <w:rsid w:val="002002E2"/>
    <w:rsid w:val="0021253F"/>
    <w:rsid w:val="0021260F"/>
    <w:rsid w:val="00217122"/>
    <w:rsid w:val="00217322"/>
    <w:rsid w:val="00217A6D"/>
    <w:rsid w:val="00220F5D"/>
    <w:rsid w:val="00230574"/>
    <w:rsid w:val="0023622E"/>
    <w:rsid w:val="00260B00"/>
    <w:rsid w:val="00267897"/>
    <w:rsid w:val="002711E6"/>
    <w:rsid w:val="002904C8"/>
    <w:rsid w:val="002C4418"/>
    <w:rsid w:val="002D11B2"/>
    <w:rsid w:val="002D549A"/>
    <w:rsid w:val="002E3481"/>
    <w:rsid w:val="002F4623"/>
    <w:rsid w:val="003006F2"/>
    <w:rsid w:val="00303E94"/>
    <w:rsid w:val="00304151"/>
    <w:rsid w:val="0031503C"/>
    <w:rsid w:val="0032011A"/>
    <w:rsid w:val="00323F9D"/>
    <w:rsid w:val="0034322D"/>
    <w:rsid w:val="00352660"/>
    <w:rsid w:val="00353E9E"/>
    <w:rsid w:val="003557FF"/>
    <w:rsid w:val="00360300"/>
    <w:rsid w:val="00366DA7"/>
    <w:rsid w:val="00373633"/>
    <w:rsid w:val="0038029C"/>
    <w:rsid w:val="00380928"/>
    <w:rsid w:val="0038306A"/>
    <w:rsid w:val="00386B78"/>
    <w:rsid w:val="003C1216"/>
    <w:rsid w:val="003C3840"/>
    <w:rsid w:val="003D56E3"/>
    <w:rsid w:val="003E59BF"/>
    <w:rsid w:val="003E67E5"/>
    <w:rsid w:val="003E68C9"/>
    <w:rsid w:val="003F57CE"/>
    <w:rsid w:val="003F666C"/>
    <w:rsid w:val="00401998"/>
    <w:rsid w:val="004128FF"/>
    <w:rsid w:val="00427966"/>
    <w:rsid w:val="00446B25"/>
    <w:rsid w:val="004475F9"/>
    <w:rsid w:val="00462051"/>
    <w:rsid w:val="00465900"/>
    <w:rsid w:val="00471CE5"/>
    <w:rsid w:val="004A0BAB"/>
    <w:rsid w:val="004A1FF5"/>
    <w:rsid w:val="004B5A22"/>
    <w:rsid w:val="004C16DB"/>
    <w:rsid w:val="004E6244"/>
    <w:rsid w:val="004F0578"/>
    <w:rsid w:val="004F61D5"/>
    <w:rsid w:val="005008CF"/>
    <w:rsid w:val="0050171A"/>
    <w:rsid w:val="00517111"/>
    <w:rsid w:val="005246BE"/>
    <w:rsid w:val="00563FFF"/>
    <w:rsid w:val="00564F7F"/>
    <w:rsid w:val="005677B8"/>
    <w:rsid w:val="00574ECE"/>
    <w:rsid w:val="00577BCC"/>
    <w:rsid w:val="005810CA"/>
    <w:rsid w:val="005960E2"/>
    <w:rsid w:val="00596453"/>
    <w:rsid w:val="005A7F37"/>
    <w:rsid w:val="005B602E"/>
    <w:rsid w:val="005C4C5F"/>
    <w:rsid w:val="005D06FE"/>
    <w:rsid w:val="005D2709"/>
    <w:rsid w:val="005E0350"/>
    <w:rsid w:val="005E1210"/>
    <w:rsid w:val="005E46E4"/>
    <w:rsid w:val="005F03E1"/>
    <w:rsid w:val="006043A9"/>
    <w:rsid w:val="00605E23"/>
    <w:rsid w:val="00610B1B"/>
    <w:rsid w:val="00610F9A"/>
    <w:rsid w:val="0064483D"/>
    <w:rsid w:val="006643DC"/>
    <w:rsid w:val="006648E1"/>
    <w:rsid w:val="006703EB"/>
    <w:rsid w:val="00675171"/>
    <w:rsid w:val="006A4783"/>
    <w:rsid w:val="006A516B"/>
    <w:rsid w:val="006B20DC"/>
    <w:rsid w:val="006B2B8B"/>
    <w:rsid w:val="006B404F"/>
    <w:rsid w:val="006E2B09"/>
    <w:rsid w:val="00700F1F"/>
    <w:rsid w:val="00701A07"/>
    <w:rsid w:val="00720E78"/>
    <w:rsid w:val="00723DE0"/>
    <w:rsid w:val="00732595"/>
    <w:rsid w:val="00732F78"/>
    <w:rsid w:val="007534B0"/>
    <w:rsid w:val="0075466C"/>
    <w:rsid w:val="00774921"/>
    <w:rsid w:val="00782E65"/>
    <w:rsid w:val="007A0EEF"/>
    <w:rsid w:val="007B5DC1"/>
    <w:rsid w:val="007B6599"/>
    <w:rsid w:val="007C7CD2"/>
    <w:rsid w:val="007D69B5"/>
    <w:rsid w:val="007D76AA"/>
    <w:rsid w:val="007E0D71"/>
    <w:rsid w:val="007E48C5"/>
    <w:rsid w:val="007E64D9"/>
    <w:rsid w:val="007F1CCD"/>
    <w:rsid w:val="007F6A8C"/>
    <w:rsid w:val="00805E51"/>
    <w:rsid w:val="00811312"/>
    <w:rsid w:val="00812324"/>
    <w:rsid w:val="008270DF"/>
    <w:rsid w:val="00843FE8"/>
    <w:rsid w:val="00861DA2"/>
    <w:rsid w:val="0086500C"/>
    <w:rsid w:val="008656A6"/>
    <w:rsid w:val="00865C2F"/>
    <w:rsid w:val="00875210"/>
    <w:rsid w:val="00883703"/>
    <w:rsid w:val="00883D54"/>
    <w:rsid w:val="008869D6"/>
    <w:rsid w:val="00894437"/>
    <w:rsid w:val="00897D48"/>
    <w:rsid w:val="008A6901"/>
    <w:rsid w:val="008A7F65"/>
    <w:rsid w:val="008B7CB8"/>
    <w:rsid w:val="008F141A"/>
    <w:rsid w:val="00906C6A"/>
    <w:rsid w:val="00914273"/>
    <w:rsid w:val="00926418"/>
    <w:rsid w:val="009279BF"/>
    <w:rsid w:val="00935271"/>
    <w:rsid w:val="0093729B"/>
    <w:rsid w:val="00951002"/>
    <w:rsid w:val="00951C86"/>
    <w:rsid w:val="00987775"/>
    <w:rsid w:val="009B52B9"/>
    <w:rsid w:val="009C1445"/>
    <w:rsid w:val="009C5854"/>
    <w:rsid w:val="009D6B6B"/>
    <w:rsid w:val="009F2B37"/>
    <w:rsid w:val="00A0048E"/>
    <w:rsid w:val="00A027B1"/>
    <w:rsid w:val="00A1115E"/>
    <w:rsid w:val="00A21B8D"/>
    <w:rsid w:val="00A22908"/>
    <w:rsid w:val="00A23224"/>
    <w:rsid w:val="00A25B84"/>
    <w:rsid w:val="00A37E24"/>
    <w:rsid w:val="00A465E0"/>
    <w:rsid w:val="00A47C6F"/>
    <w:rsid w:val="00A5492F"/>
    <w:rsid w:val="00A60DC3"/>
    <w:rsid w:val="00A65484"/>
    <w:rsid w:val="00A776EF"/>
    <w:rsid w:val="00AA4C78"/>
    <w:rsid w:val="00AB5AF6"/>
    <w:rsid w:val="00AE79BA"/>
    <w:rsid w:val="00AF09E1"/>
    <w:rsid w:val="00AF229D"/>
    <w:rsid w:val="00AF2EBF"/>
    <w:rsid w:val="00B05D8A"/>
    <w:rsid w:val="00B06767"/>
    <w:rsid w:val="00B21761"/>
    <w:rsid w:val="00B311FF"/>
    <w:rsid w:val="00B33359"/>
    <w:rsid w:val="00B33747"/>
    <w:rsid w:val="00B36891"/>
    <w:rsid w:val="00B45490"/>
    <w:rsid w:val="00B5520C"/>
    <w:rsid w:val="00B55B52"/>
    <w:rsid w:val="00B61E0B"/>
    <w:rsid w:val="00B658C4"/>
    <w:rsid w:val="00B67910"/>
    <w:rsid w:val="00B837D6"/>
    <w:rsid w:val="00B865DB"/>
    <w:rsid w:val="00B921E0"/>
    <w:rsid w:val="00BA1A44"/>
    <w:rsid w:val="00BA611B"/>
    <w:rsid w:val="00BC4D68"/>
    <w:rsid w:val="00BE2D35"/>
    <w:rsid w:val="00BE387B"/>
    <w:rsid w:val="00BF521A"/>
    <w:rsid w:val="00C04A0A"/>
    <w:rsid w:val="00C231CF"/>
    <w:rsid w:val="00C35CC1"/>
    <w:rsid w:val="00C40313"/>
    <w:rsid w:val="00C5439E"/>
    <w:rsid w:val="00C55D41"/>
    <w:rsid w:val="00C65207"/>
    <w:rsid w:val="00C67B9D"/>
    <w:rsid w:val="00C67BA5"/>
    <w:rsid w:val="00C91CD1"/>
    <w:rsid w:val="00CA706C"/>
    <w:rsid w:val="00CB7C2C"/>
    <w:rsid w:val="00CC7982"/>
    <w:rsid w:val="00CD0745"/>
    <w:rsid w:val="00CD3C90"/>
    <w:rsid w:val="00CD3ED9"/>
    <w:rsid w:val="00CD6B37"/>
    <w:rsid w:val="00CF4175"/>
    <w:rsid w:val="00D07A21"/>
    <w:rsid w:val="00D12263"/>
    <w:rsid w:val="00D123C1"/>
    <w:rsid w:val="00D234FD"/>
    <w:rsid w:val="00D34BEF"/>
    <w:rsid w:val="00D371D3"/>
    <w:rsid w:val="00D5066D"/>
    <w:rsid w:val="00D51B61"/>
    <w:rsid w:val="00D56571"/>
    <w:rsid w:val="00D64CFE"/>
    <w:rsid w:val="00D67DE0"/>
    <w:rsid w:val="00D74F66"/>
    <w:rsid w:val="00D779D3"/>
    <w:rsid w:val="00D9338F"/>
    <w:rsid w:val="00D9582C"/>
    <w:rsid w:val="00DA043A"/>
    <w:rsid w:val="00DA116C"/>
    <w:rsid w:val="00DB0B64"/>
    <w:rsid w:val="00DB419A"/>
    <w:rsid w:val="00DB590B"/>
    <w:rsid w:val="00DB7D7F"/>
    <w:rsid w:val="00DC195F"/>
    <w:rsid w:val="00DE6006"/>
    <w:rsid w:val="00E073E8"/>
    <w:rsid w:val="00E07418"/>
    <w:rsid w:val="00E11D29"/>
    <w:rsid w:val="00E1250E"/>
    <w:rsid w:val="00E1588B"/>
    <w:rsid w:val="00E37C9F"/>
    <w:rsid w:val="00E50284"/>
    <w:rsid w:val="00E5111B"/>
    <w:rsid w:val="00E557B8"/>
    <w:rsid w:val="00E603AD"/>
    <w:rsid w:val="00E62A63"/>
    <w:rsid w:val="00E766AE"/>
    <w:rsid w:val="00E77D82"/>
    <w:rsid w:val="00E8605C"/>
    <w:rsid w:val="00EA0B22"/>
    <w:rsid w:val="00EA246B"/>
    <w:rsid w:val="00EA3454"/>
    <w:rsid w:val="00EB2390"/>
    <w:rsid w:val="00EB2786"/>
    <w:rsid w:val="00EB3D35"/>
    <w:rsid w:val="00ED43BB"/>
    <w:rsid w:val="00EF1E93"/>
    <w:rsid w:val="00EF6661"/>
    <w:rsid w:val="00F16725"/>
    <w:rsid w:val="00F25441"/>
    <w:rsid w:val="00F259BB"/>
    <w:rsid w:val="00F33643"/>
    <w:rsid w:val="00F47DE0"/>
    <w:rsid w:val="00F5146E"/>
    <w:rsid w:val="00F547C0"/>
    <w:rsid w:val="00F61718"/>
    <w:rsid w:val="00F62A6F"/>
    <w:rsid w:val="00F6410E"/>
    <w:rsid w:val="00F64C7E"/>
    <w:rsid w:val="00F74EB6"/>
    <w:rsid w:val="00F80233"/>
    <w:rsid w:val="00F82982"/>
    <w:rsid w:val="00F91F93"/>
    <w:rsid w:val="00FA2CA5"/>
    <w:rsid w:val="00FA4209"/>
    <w:rsid w:val="00FB56E2"/>
    <w:rsid w:val="00FC5011"/>
    <w:rsid w:val="00FD4BD2"/>
    <w:rsid w:val="00FD54A5"/>
    <w:rsid w:val="00FD58BE"/>
    <w:rsid w:val="00FE6405"/>
    <w:rsid w:val="00FE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2F9E955F"/>
  <w15:chartTrackingRefBased/>
  <w15:docId w15:val="{CDBC53FA-ACF6-493C-9ECF-66D3A7E3B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rPr>
  </w:style>
  <w:style w:type="paragraph" w:styleId="Heading1">
    <w:name w:val="heading 1"/>
    <w:next w:val="Normal"/>
    <w:qFormat/>
    <w:pPr>
      <w:keepNext/>
      <w:spacing w:before="300" w:after="60"/>
      <w:ind w:left="450" w:hanging="450"/>
      <w:outlineLvl w:val="0"/>
    </w:pPr>
    <w:rPr>
      <w:rFonts w:ascii="Arial" w:hAnsi="Arial"/>
      <w:b/>
      <w:noProof/>
      <w:kern w:val="28"/>
      <w:sz w:val="28"/>
    </w:rPr>
  </w:style>
  <w:style w:type="paragraph" w:styleId="Heading2">
    <w:name w:val="heading 2"/>
    <w:next w:val="Normal"/>
    <w:qFormat/>
    <w:pPr>
      <w:keepNext/>
      <w:spacing w:before="300" w:after="60"/>
      <w:ind w:left="630" w:hanging="630"/>
      <w:outlineLvl w:val="1"/>
    </w:pPr>
    <w:rPr>
      <w:rFonts w:ascii="Arial" w:hAnsi="Arial"/>
      <w:b/>
      <w:noProof/>
      <w:sz w:val="26"/>
    </w:rPr>
  </w:style>
  <w:style w:type="paragraph" w:styleId="Heading3">
    <w:name w:val="heading 3"/>
    <w:next w:val="Normal"/>
    <w:qFormat/>
    <w:pPr>
      <w:keepNext/>
      <w:spacing w:before="240" w:after="60"/>
      <w:ind w:left="720" w:hanging="720"/>
      <w:outlineLvl w:val="2"/>
    </w:pPr>
    <w:rPr>
      <w:rFonts w:ascii="Arial" w:hAnsi="Arial"/>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character" w:styleId="Emphasis">
    <w:name w:val="Emphasis"/>
    <w:uiPriority w:val="20"/>
    <w:qFormat/>
    <w:rsid w:val="000A2163"/>
    <w:rPr>
      <w:i/>
      <w:iCs/>
    </w:rPr>
  </w:style>
  <w:style w:type="character" w:styleId="UnresolvedMention">
    <w:name w:val="Unresolved Mention"/>
    <w:uiPriority w:val="99"/>
    <w:semiHidden/>
    <w:unhideWhenUsed/>
    <w:rsid w:val="000A2163"/>
    <w:rPr>
      <w:color w:val="605E5C"/>
      <w:shd w:val="clear" w:color="auto" w:fill="E1DFDD"/>
    </w:rPr>
  </w:style>
  <w:style w:type="paragraph" w:styleId="FootnoteText">
    <w:name w:val="footnote text"/>
    <w:basedOn w:val="Normal"/>
    <w:link w:val="FootnoteTextChar"/>
    <w:rsid w:val="0038029C"/>
    <w:pPr>
      <w:widowControl w:val="0"/>
      <w:spacing w:before="120" w:after="100" w:afterAutospacing="1"/>
    </w:pPr>
    <w:rPr>
      <w:sz w:val="20"/>
    </w:rPr>
  </w:style>
  <w:style w:type="character" w:customStyle="1" w:styleId="FootnoteTextChar">
    <w:name w:val="Footnote Text Char"/>
    <w:basedOn w:val="DefaultParagraphFont"/>
    <w:link w:val="FootnoteText"/>
    <w:rsid w:val="0038029C"/>
    <w:rPr>
      <w:rFonts w:ascii="Times New Roman" w:hAnsi="Times New Roman"/>
    </w:rPr>
  </w:style>
  <w:style w:type="character" w:styleId="FootnoteReference">
    <w:name w:val="footnote reference"/>
    <w:rsid w:val="0038029C"/>
    <w:rPr>
      <w:vertAlign w:val="superscript"/>
    </w:rPr>
  </w:style>
  <w:style w:type="character" w:styleId="Strong">
    <w:name w:val="Strong"/>
    <w:basedOn w:val="DefaultParagraphFont"/>
    <w:qFormat/>
    <w:rsid w:val="0038029C"/>
    <w:rPr>
      <w:b/>
      <w:bCs/>
    </w:rPr>
  </w:style>
  <w:style w:type="paragraph" w:styleId="ListParagraph">
    <w:name w:val="List Paragraph"/>
    <w:basedOn w:val="Normal"/>
    <w:uiPriority w:val="34"/>
    <w:qFormat/>
    <w:rsid w:val="0038029C"/>
    <w:pPr>
      <w:widowControl w:val="0"/>
      <w:spacing w:before="120" w:after="100" w:afterAutospacing="1"/>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o20022.org/development-new-iso-20022-message-definitions-request" TargetMode="External"/><Relationship Id="rId13" Type="http://schemas.openxmlformats.org/officeDocument/2006/relationships/hyperlink" Target="http://www.iso20022.org/documents/general/MessageTransportModes.xl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iso20022.org/development.page" TargetMode="External"/><Relationship Id="rId12" Type="http://schemas.openxmlformats.org/officeDocument/2006/relationships/hyperlink" Target="http://www.iso20022.org/documents/general/ISO20022_MasterRules.ZI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so20022.org/documents/general/ISO20022_MasterRules.ZIP" TargetMode="External"/><Relationship Id="rId5" Type="http://schemas.openxmlformats.org/officeDocument/2006/relationships/footnotes" Target="footnotes.xml"/><Relationship Id="rId15" Type="http://schemas.openxmlformats.org/officeDocument/2006/relationships/hyperlink" Target="mailto:stephanie.gosso@esma.europa.e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konstantinos.kalomoiris@esma.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AUTO/?uri=CELEX:32017R0580&amp;qid=1652779142831&amp;r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11081</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4128831</vt:i4>
      </vt:variant>
      <vt:variant>
        <vt:i4>3</vt:i4>
      </vt:variant>
      <vt:variant>
        <vt:i4>0</vt:i4>
      </vt:variant>
      <vt:variant>
        <vt:i4>5</vt:i4>
      </vt:variant>
      <vt:variant>
        <vt:lpwstr>https://www.iso20022.org/development-new-iso-20022-message-definitions-request</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subject/>
  <dc:creator>jeloy</dc:creator>
  <cp:keywords/>
  <cp:lastModifiedBy>VANDAELE Benoit</cp:lastModifiedBy>
  <cp:revision>4</cp:revision>
  <cp:lastPrinted>2012-01-13T08:37:00Z</cp:lastPrinted>
  <dcterms:created xsi:type="dcterms:W3CDTF">2023-02-08T14:11:00Z</dcterms:created>
  <dcterms:modified xsi:type="dcterms:W3CDTF">2023-02-08T14:27:00Z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2022-09-22T14:02:14Z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d876315a-b51d-4cc2-a467-55c2ec89845d</vt:lpwstr>
  </property>
  <property fmtid="{D5CDD505-2E9C-101B-9397-08002B2CF9AE}" pid="8" name="MSIP_Label_4868b825-edee-44ac-b7a2-e857f0213f31_ContentBits">
    <vt:lpwstr>0</vt:lpwstr>
  </property>
</Properties>
</file>