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sidRPr="71888CDE">
        <w:rPr>
          <w:b/>
          <w:bCs/>
          <w:smallCaps/>
          <w:lang w:val="en-GB"/>
        </w:rPr>
        <w:t xml:space="preserve">for the update of </w:t>
      </w:r>
      <w:r w:rsidR="00865C2F" w:rsidRPr="71888CDE">
        <w:rPr>
          <w:b/>
          <w:bCs/>
          <w:smallCaps/>
          <w:lang w:val="en-GB"/>
        </w:rPr>
        <w:t>ISO 20022 financial repository</w:t>
      </w:r>
      <w:r w:rsidR="00DD37B4" w:rsidRPr="71888CDE">
        <w:rPr>
          <w:b/>
          <w:bCs/>
          <w:smallCaps/>
          <w:lang w:val="en-GB"/>
        </w:rPr>
        <w:t xml:space="preserve"> items</w:t>
      </w:r>
    </w:p>
    <w:p w14:paraId="74449E2D" w14:textId="77777777" w:rsidR="006D6C28" w:rsidRDefault="006D6C28" w:rsidP="00865C2F">
      <w:pPr>
        <w:rPr>
          <w:i/>
          <w:szCs w:val="24"/>
          <w:lang w:val="en-GB"/>
        </w:rPr>
      </w:pP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17FE1E3F" w:rsidR="000408BA" w:rsidRDefault="008438AF" w:rsidP="008438AF">
      <w:pPr>
        <w:rPr>
          <w:szCs w:val="24"/>
          <w:lang w:val="en-GB"/>
        </w:rPr>
      </w:pPr>
      <w:r w:rsidRPr="008438AF">
        <w:rPr>
          <w:i/>
          <w:szCs w:val="24"/>
          <w:lang w:val="en-GB"/>
        </w:rPr>
        <w:t>A.1 Submitter</w:t>
      </w:r>
      <w:r>
        <w:rPr>
          <w:szCs w:val="24"/>
          <w:lang w:val="en-GB"/>
        </w:rPr>
        <w:t>: identity of the company, organization, group, initiative or community that submits the change request.</w:t>
      </w:r>
    </w:p>
    <w:p w14:paraId="7CBE1DE7" w14:textId="37EA7F35" w:rsidR="001D5641" w:rsidRDefault="001D5641" w:rsidP="008438AF">
      <w:pPr>
        <w:rPr>
          <w:szCs w:val="24"/>
          <w:lang w:val="en-GB"/>
        </w:rPr>
      </w:pPr>
      <w:r>
        <w:rPr>
          <w:szCs w:val="24"/>
          <w:lang w:val="en-GB"/>
        </w:rPr>
        <w:t>Bank of England</w:t>
      </w:r>
    </w:p>
    <w:p w14:paraId="3872C480" w14:textId="77777777"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person(s) who can be contacted to get additional information on the request (name, e-mail, telephone)</w:t>
      </w:r>
    </w:p>
    <w:p w14:paraId="4DDAB4D3" w14:textId="03ECAD58" w:rsidR="001D5641" w:rsidRDefault="001D5641" w:rsidP="008438AF">
      <w:pPr>
        <w:rPr>
          <w:szCs w:val="24"/>
          <w:lang w:val="en-GB"/>
        </w:rPr>
      </w:pPr>
      <w:r>
        <w:rPr>
          <w:szCs w:val="24"/>
          <w:lang w:val="en-GB"/>
        </w:rPr>
        <w:t>John Aveson</w:t>
      </w:r>
    </w:p>
    <w:p w14:paraId="25E92BB5" w14:textId="77777777"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E74C04">
        <w:rPr>
          <w:szCs w:val="24"/>
          <w:lang w:val="en-GB"/>
        </w:rPr>
        <w:t>i</w:t>
      </w:r>
      <w:r w:rsidR="00E74C04" w:rsidRPr="00D84F87">
        <w:rPr>
          <w:szCs w:val="24"/>
          <w:lang w:val="en-GB"/>
        </w:rPr>
        <w:t xml:space="preserve">t is highly recommended that a submitter of a Change Request gain the agreement and support from as many additional organisations, groups, initiatives or communities of users as possible, thus demonstrating as wide as possible a consultation of the relevant stakeholders. All organisations, groups, initiatives or communities supporting the change request should be identified as sponsors along with a contact person, if possible. This community involvement is intended to help avoid delays and/or subsequent amendments to the </w:t>
      </w:r>
      <w:r w:rsidR="00E74C04">
        <w:rPr>
          <w:szCs w:val="24"/>
          <w:lang w:val="en-GB"/>
        </w:rPr>
        <w:t>c</w:t>
      </w:r>
      <w:r w:rsidR="00E74C04" w:rsidRPr="00D84F87">
        <w:rPr>
          <w:szCs w:val="24"/>
          <w:lang w:val="en-GB"/>
        </w:rPr>
        <w:t xml:space="preserve">hange </w:t>
      </w:r>
      <w:r w:rsidR="00E74C04">
        <w:rPr>
          <w:szCs w:val="24"/>
          <w:lang w:val="en-GB"/>
        </w:rPr>
        <w:t>r</w:t>
      </w:r>
      <w:r w:rsidR="00E74C04" w:rsidRPr="00D84F87">
        <w:rPr>
          <w:szCs w:val="24"/>
          <w:lang w:val="en-GB"/>
        </w:rPr>
        <w:t>equest.</w:t>
      </w:r>
    </w:p>
    <w:p w14:paraId="300BABE2" w14:textId="77777777" w:rsidR="006D6C28" w:rsidRDefault="006D6C28"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625A5474" w14:textId="464B0F7C" w:rsidR="00854FA6" w:rsidRDefault="00854FA6" w:rsidP="00854FA6">
      <w:pPr>
        <w:rPr>
          <w:lang w:val="en-GB"/>
        </w:rPr>
      </w:pPr>
      <w:r>
        <w:rPr>
          <w:lang w:val="en-GB"/>
        </w:rPr>
        <w:t xml:space="preserve">The list of ISO 20022 messages which would be impacted by the change, including the Message IDs as shown in the </w:t>
      </w:r>
      <w:hyperlink r:id="rId12" w:history="1">
        <w:r w:rsidRPr="00854FA6">
          <w:rPr>
            <w:rStyle w:val="Hyperlink"/>
            <w:lang w:val="en-GB"/>
          </w:rPr>
          <w:t xml:space="preserve">Catalogue of ISO 20022 </w:t>
        </w:r>
        <w:r>
          <w:rPr>
            <w:rStyle w:val="Hyperlink"/>
            <w:lang w:val="en-GB"/>
          </w:rPr>
          <w:t>m</w:t>
        </w:r>
        <w:r w:rsidRPr="00854FA6">
          <w:rPr>
            <w:rStyle w:val="Hyperlink"/>
            <w:lang w:val="en-GB"/>
          </w:rPr>
          <w:t>essages</w:t>
        </w:r>
      </w:hyperlink>
      <w:r>
        <w:rPr>
          <w:lang w:val="en-GB"/>
        </w:rPr>
        <w:t>.</w:t>
      </w:r>
      <w:r w:rsidR="006E2522">
        <w:rPr>
          <w:lang w:val="en-GB"/>
        </w:rPr>
        <w:t xml:space="preserve"> Only the latest version of a message definition can be maintained.</w:t>
      </w:r>
    </w:p>
    <w:p w14:paraId="315F1515" w14:textId="676748D8" w:rsidR="001D5641" w:rsidRPr="00D123C1" w:rsidRDefault="001D5641" w:rsidP="00854FA6">
      <w:pPr>
        <w:rPr>
          <w:szCs w:val="24"/>
          <w:lang w:val="en-GB"/>
        </w:rPr>
      </w:pPr>
      <w:r>
        <w:rPr>
          <w:lang w:val="en-GB"/>
        </w:rPr>
        <w:t>CCPLiquidityStresstestingResultReport01 (auth.063.001.01)</w:t>
      </w:r>
    </w:p>
    <w:p w14:paraId="3E66D45C" w14:textId="77777777" w:rsidR="00854FA6" w:rsidRDefault="00854FA6" w:rsidP="00854FA6">
      <w:pPr>
        <w:rPr>
          <w:szCs w:val="24"/>
          <w:lang w:val="en-GB"/>
        </w:rPr>
      </w:pPr>
      <w:r>
        <w:rPr>
          <w:szCs w:val="24"/>
          <w:lang w:val="en-GB"/>
        </w:rPr>
        <w:t xml:space="preserve">The submitter is invited to carefully examine whether the change may have an impact on other messages that come into play earlier or later in the transaction chain or on other messages that also use message components that this change request may impact.    </w:t>
      </w:r>
    </w:p>
    <w:p w14:paraId="562048B2" w14:textId="77777777" w:rsidR="006D6C28" w:rsidRDefault="006D6C28" w:rsidP="00854FA6">
      <w:pPr>
        <w:rPr>
          <w:szCs w:val="24"/>
          <w:lang w:val="en-GB"/>
        </w:rPr>
      </w:pPr>
    </w:p>
    <w:p w14:paraId="0430AD68" w14:textId="77777777" w:rsidR="006D6C28" w:rsidRPr="00451986" w:rsidRDefault="006D6C28" w:rsidP="00854FA6">
      <w:p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7E531A34" w14:textId="77777777" w:rsidR="00AA5E76" w:rsidRDefault="006D4A37" w:rsidP="00AA5E76">
      <w:pPr>
        <w:rPr>
          <w:lang w:val="en-GB"/>
        </w:rPr>
      </w:pPr>
      <w:r w:rsidRPr="00AA5E76">
        <w:rPr>
          <w:lang w:val="en-GB"/>
        </w:rPr>
        <w:t xml:space="preserve">A </w:t>
      </w:r>
      <w:r w:rsidR="00AA5E76">
        <w:rPr>
          <w:lang w:val="en-GB"/>
        </w:rPr>
        <w:t xml:space="preserve">specific </w:t>
      </w:r>
      <w:r w:rsidRPr="00AA5E76">
        <w:rPr>
          <w:lang w:val="en-GB"/>
        </w:rPr>
        <w:t>change request form must be completed for each particular change requested</w:t>
      </w:r>
      <w:r w:rsidR="00AA5E76" w:rsidRPr="00AA5E76">
        <w:rPr>
          <w:lang w:val="en-GB"/>
        </w:rPr>
        <w:t xml:space="preserve"> (</w:t>
      </w:r>
      <w:r w:rsidR="000408BA">
        <w:rPr>
          <w:lang w:val="en-GB"/>
        </w:rPr>
        <w:t>f</w:t>
      </w:r>
      <w:r w:rsidR="00AA5E76">
        <w:rPr>
          <w:lang w:val="en-GB"/>
        </w:rPr>
        <w:t xml:space="preserve">or example, adding, deleting, modifying, renaming, changing the cardinality, moving an element/component, or changing the type of an element, changing a code </w:t>
      </w:r>
      <w:r w:rsidR="00EE43B0">
        <w:rPr>
          <w:lang w:val="en-GB"/>
        </w:rPr>
        <w:t>set</w:t>
      </w:r>
      <w:r w:rsidR="00AA5E76">
        <w:rPr>
          <w:lang w:val="en-GB"/>
        </w:rPr>
        <w:t>)</w:t>
      </w:r>
      <w:r w:rsidR="00706604">
        <w:rPr>
          <w:lang w:val="en-GB"/>
        </w:rPr>
        <w:t>.</w:t>
      </w:r>
    </w:p>
    <w:p w14:paraId="2A2E8849" w14:textId="77777777" w:rsidR="00385620" w:rsidRDefault="00385620" w:rsidP="00AA5E76">
      <w:pPr>
        <w:rPr>
          <w:lang w:val="en-GB"/>
        </w:rPr>
      </w:pPr>
    </w:p>
    <w:p w14:paraId="55214AA7" w14:textId="77777777" w:rsidR="000408BA" w:rsidRDefault="006D4A37" w:rsidP="000408BA">
      <w:pPr>
        <w:rPr>
          <w:lang w:val="en-GB"/>
        </w:rPr>
      </w:pPr>
      <w:r w:rsidRPr="00AA5E76">
        <w:rPr>
          <w:lang w:val="en-GB"/>
        </w:rPr>
        <w:t>If the change request</w:t>
      </w:r>
      <w:r w:rsidR="00AA5E76">
        <w:rPr>
          <w:lang w:val="en-GB"/>
        </w:rPr>
        <w:t xml:space="preserve"> consists, for example, </w:t>
      </w:r>
      <w:r w:rsidR="00CC68E1">
        <w:rPr>
          <w:lang w:val="en-GB"/>
        </w:rPr>
        <w:t>of</w:t>
      </w:r>
      <w:r w:rsidR="00AA5E76">
        <w:rPr>
          <w:lang w:val="en-GB"/>
        </w:rPr>
        <w:t xml:space="preserve"> adding new functionality which requires several changes </w:t>
      </w:r>
      <w:r w:rsidR="000408BA">
        <w:rPr>
          <w:lang w:val="en-GB"/>
        </w:rPr>
        <w:t>which would not make sense</w:t>
      </w:r>
      <w:r w:rsidR="00AA5E76">
        <w:rPr>
          <w:lang w:val="en-GB"/>
        </w:rPr>
        <w:t xml:space="preserve"> if not performed all together, then all these related changes </w:t>
      </w:r>
      <w:r w:rsidR="000408BA">
        <w:rPr>
          <w:lang w:val="en-GB"/>
        </w:rPr>
        <w:t xml:space="preserve">should be </w:t>
      </w:r>
      <w:r w:rsidR="00AA5E76">
        <w:rPr>
          <w:lang w:val="en-GB"/>
        </w:rPr>
        <w:t xml:space="preserve">described on the same form.  </w:t>
      </w:r>
      <w:r w:rsidRPr="00AA5E76">
        <w:rPr>
          <w:lang w:val="en-GB"/>
        </w:rPr>
        <w:t xml:space="preserve">  </w:t>
      </w:r>
    </w:p>
    <w:p w14:paraId="7939DBFB" w14:textId="77777777" w:rsidR="000408BA" w:rsidRDefault="000408BA" w:rsidP="000408BA">
      <w:pPr>
        <w:rPr>
          <w:szCs w:val="24"/>
          <w:lang w:val="en-GB"/>
        </w:rPr>
      </w:pPr>
      <w:r>
        <w:t>Change requests may not lead to creation of new messages. In such cases, a 'business justification' for development of new candidate ISO 20022 messages must be introduced by a submitting organization that is ready to develop the new messages.</w:t>
      </w:r>
      <w:r>
        <w:rPr>
          <w:szCs w:val="24"/>
          <w:lang w:val="en-GB"/>
        </w:rPr>
        <w:t xml:space="preserve"> </w:t>
      </w:r>
    </w:p>
    <w:p w14:paraId="493F0BF7" w14:textId="77777777" w:rsidR="00385620" w:rsidRPr="00385620" w:rsidRDefault="00385620" w:rsidP="00385620">
      <w:pPr>
        <w:rPr>
          <w:szCs w:val="24"/>
          <w:lang w:val="en-GB"/>
        </w:rPr>
      </w:pPr>
      <w:r w:rsidRPr="00385620">
        <w:rPr>
          <w:szCs w:val="24"/>
          <w:lang w:val="en-GB"/>
        </w:rPr>
        <w:t>    &lt;xs:complexType name="LiquidityStressTestResult1"&gt;</w:t>
      </w:r>
    </w:p>
    <w:p w14:paraId="12BAD814" w14:textId="77777777" w:rsidR="00385620" w:rsidRPr="00385620" w:rsidRDefault="00385620" w:rsidP="00385620">
      <w:pPr>
        <w:rPr>
          <w:szCs w:val="24"/>
          <w:lang w:val="en-GB"/>
        </w:rPr>
      </w:pPr>
      <w:r w:rsidRPr="00385620">
        <w:rPr>
          <w:szCs w:val="24"/>
          <w:lang w:val="en-GB"/>
        </w:rPr>
        <w:t>        &lt;xs:sequence&gt;</w:t>
      </w:r>
    </w:p>
    <w:p w14:paraId="25002679" w14:textId="77777777" w:rsidR="00385620" w:rsidRPr="00385620" w:rsidRDefault="00385620" w:rsidP="00385620">
      <w:pPr>
        <w:rPr>
          <w:szCs w:val="24"/>
          <w:lang w:val="en-GB"/>
        </w:rPr>
      </w:pPr>
      <w:r w:rsidRPr="00385620">
        <w:rPr>
          <w:szCs w:val="24"/>
          <w:lang w:val="en-GB"/>
        </w:rPr>
        <w:t>            &lt;xs:element name="Id" type="Max256Text"/&gt;</w:t>
      </w:r>
    </w:p>
    <w:p w14:paraId="11D0B412" w14:textId="77777777" w:rsidR="00385620" w:rsidRPr="00385620" w:rsidRDefault="00385620" w:rsidP="00385620">
      <w:pPr>
        <w:rPr>
          <w:szCs w:val="24"/>
          <w:lang w:val="en-GB"/>
        </w:rPr>
      </w:pPr>
      <w:r w:rsidRPr="00385620">
        <w:rPr>
          <w:szCs w:val="24"/>
          <w:lang w:val="en-GB"/>
        </w:rPr>
        <w:t>            &lt;xs:element name="ScnroDfltrs" type="CoverTwoDefaulters1"/&gt;</w:t>
      </w:r>
    </w:p>
    <w:p w14:paraId="0E98CE4A" w14:textId="77777777" w:rsidR="00385620" w:rsidRPr="00E17BF7" w:rsidRDefault="00385620" w:rsidP="00385620">
      <w:pPr>
        <w:rPr>
          <w:szCs w:val="24"/>
          <w:lang w:val="fr-BE"/>
        </w:rPr>
      </w:pPr>
      <w:r w:rsidRPr="00385620">
        <w:rPr>
          <w:szCs w:val="24"/>
          <w:lang w:val="en-GB"/>
        </w:rPr>
        <w:t xml:space="preserve">            </w:t>
      </w:r>
      <w:r w:rsidRPr="00E17BF7">
        <w:rPr>
          <w:szCs w:val="24"/>
          <w:lang w:val="fr-BE"/>
        </w:rPr>
        <w:t>&lt;xs:element maxOccurs="6" minOccurs="6" name="LqdtyReqrdAndAvlbl" type="LiquidityRequiredAndAvailable1"/&gt;</w:t>
      </w:r>
    </w:p>
    <w:p w14:paraId="172EA5C2" w14:textId="77777777" w:rsidR="00385620" w:rsidRPr="00385620" w:rsidRDefault="00385620" w:rsidP="00385620">
      <w:pPr>
        <w:rPr>
          <w:szCs w:val="24"/>
          <w:lang w:val="en-GB"/>
        </w:rPr>
      </w:pPr>
      <w:r w:rsidRPr="00E17BF7">
        <w:rPr>
          <w:szCs w:val="24"/>
          <w:lang w:val="fr-BE"/>
        </w:rPr>
        <w:t xml:space="preserve">        </w:t>
      </w:r>
      <w:r w:rsidRPr="00385620">
        <w:rPr>
          <w:szCs w:val="24"/>
          <w:lang w:val="en-GB"/>
        </w:rPr>
        <w:t>&lt;/xs:sequence&gt;</w:t>
      </w:r>
    </w:p>
    <w:p w14:paraId="7399B1C8" w14:textId="77777777" w:rsidR="00385620" w:rsidRPr="00385620" w:rsidRDefault="00385620" w:rsidP="00385620">
      <w:pPr>
        <w:rPr>
          <w:szCs w:val="24"/>
          <w:lang w:val="en-GB"/>
        </w:rPr>
      </w:pPr>
      <w:r w:rsidRPr="00385620">
        <w:rPr>
          <w:szCs w:val="24"/>
          <w:lang w:val="en-GB"/>
        </w:rPr>
        <w:t>    &lt;/xs:complexType&gt;</w:t>
      </w:r>
    </w:p>
    <w:p w14:paraId="16988A48" w14:textId="77777777" w:rsidR="001D5641" w:rsidRDefault="001D5641" w:rsidP="000408BA">
      <w:pPr>
        <w:rPr>
          <w:szCs w:val="24"/>
          <w:lang w:val="en-GB"/>
        </w:rPr>
      </w:pPr>
    </w:p>
    <w:p w14:paraId="2A5EA532" w14:textId="53283B03" w:rsidR="001D5641" w:rsidRDefault="001D5641" w:rsidP="000408BA">
      <w:r w:rsidRPr="71888CDE">
        <w:rPr>
          <w:lang w:val="en-GB"/>
        </w:rPr>
        <w:t xml:space="preserve">The </w:t>
      </w:r>
      <w:r w:rsidR="00385620" w:rsidRPr="71888CDE">
        <w:rPr>
          <w:lang w:val="en-GB"/>
        </w:rPr>
        <w:t>proposed change is to add an optional result description field to this report, so that the results can be labelled to express whether the results correspond to the most severe scenario in terms of liquidity coverage ratio or absolute coverage.</w:t>
      </w:r>
    </w:p>
    <w:p w14:paraId="3F98E924" w14:textId="60EED52F" w:rsidR="71888CDE" w:rsidRDefault="71888CDE" w:rsidP="71888CDE">
      <w:pPr>
        <w:rPr>
          <w:lang w:val="en-GB"/>
        </w:rPr>
      </w:pPr>
    </w:p>
    <w:p w14:paraId="3BB91AEE" w14:textId="65CF9027" w:rsidR="005246BE" w:rsidRDefault="005246BE" w:rsidP="71888CDE">
      <w:pPr>
        <w:numPr>
          <w:ilvl w:val="0"/>
          <w:numId w:val="6"/>
        </w:numPr>
        <w:rPr>
          <w:b/>
          <w:bCs/>
          <w:lang w:val="en-GB"/>
        </w:rPr>
      </w:pPr>
      <w:r w:rsidRPr="71888CDE">
        <w:rPr>
          <w:b/>
          <w:bCs/>
          <w:lang w:val="en-GB"/>
        </w:rPr>
        <w:t xml:space="preserve">Purpose of the </w:t>
      </w:r>
      <w:r w:rsidR="00577861" w:rsidRPr="71888CDE">
        <w:rPr>
          <w:b/>
          <w:bCs/>
          <w:lang w:val="en-GB"/>
        </w:rPr>
        <w:t>change</w:t>
      </w:r>
      <w:r w:rsidRPr="71888CDE">
        <w:rPr>
          <w:b/>
          <w:bCs/>
          <w:lang w:val="en-GB"/>
        </w:rPr>
        <w:t>:</w:t>
      </w:r>
    </w:p>
    <w:p w14:paraId="474AE1EB" w14:textId="77777777" w:rsidR="00577861" w:rsidRDefault="00577861" w:rsidP="00577861">
      <w:pPr>
        <w:rPr>
          <w:lang w:val="en-GB"/>
        </w:rPr>
      </w:pPr>
      <w:r>
        <w:rPr>
          <w:lang w:val="en-GB"/>
        </w:rPr>
        <w:t xml:space="preserve">Background, business context, community of </w:t>
      </w:r>
      <w:r w:rsidR="006D4A37">
        <w:rPr>
          <w:lang w:val="en-GB"/>
        </w:rPr>
        <w:t>users interested by the change</w:t>
      </w:r>
      <w:r>
        <w:rPr>
          <w:lang w:val="en-GB"/>
        </w:rPr>
        <w:t xml:space="preserve"> and expected benefits</w:t>
      </w:r>
      <w:r w:rsidR="006D4A37">
        <w:rPr>
          <w:lang w:val="en-GB"/>
        </w:rPr>
        <w:t>/savings</w:t>
      </w:r>
      <w:r>
        <w:rPr>
          <w:lang w:val="en-GB"/>
        </w:rPr>
        <w:t>.</w:t>
      </w:r>
    </w:p>
    <w:p w14:paraId="1EC9DCD3" w14:textId="77777777" w:rsidR="006D4A37" w:rsidRDefault="00577861" w:rsidP="00865C2F">
      <w:r>
        <w:rPr>
          <w:szCs w:val="24"/>
          <w:lang w:val="en-GB"/>
        </w:rPr>
        <w:t>This section must explain</w:t>
      </w:r>
      <w:r w:rsidR="00320A89">
        <w:rPr>
          <w:szCs w:val="24"/>
          <w:lang w:val="en-GB"/>
        </w:rPr>
        <w:t xml:space="preserve"> why the existing </w:t>
      </w:r>
      <w:r w:rsidR="00324C6F">
        <w:rPr>
          <w:szCs w:val="24"/>
          <w:lang w:val="en-GB"/>
        </w:rPr>
        <w:t>ISO 20022</w:t>
      </w:r>
      <w:r w:rsidR="00320A89">
        <w:rPr>
          <w:szCs w:val="24"/>
          <w:lang w:val="en-GB"/>
        </w:rPr>
        <w:t xml:space="preserve"> </w:t>
      </w:r>
      <w:r w:rsidR="00937D26">
        <w:rPr>
          <w:szCs w:val="24"/>
          <w:lang w:val="en-GB"/>
        </w:rPr>
        <w:t>messages</w:t>
      </w:r>
      <w:r w:rsidR="00320A89">
        <w:rPr>
          <w:szCs w:val="24"/>
          <w:lang w:val="en-GB"/>
        </w:rPr>
        <w:t xml:space="preserve"> need to be changed. </w:t>
      </w:r>
      <w:r w:rsidR="00320A89">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t xml:space="preserve"> </w:t>
      </w:r>
    </w:p>
    <w:p w14:paraId="4CA769EE" w14:textId="77777777" w:rsidR="00385620" w:rsidRDefault="00385620" w:rsidP="00865C2F"/>
    <w:p w14:paraId="4DDC656E" w14:textId="54E7AE0C" w:rsidR="00385620" w:rsidRDefault="00385620" w:rsidP="00865C2F">
      <w:r>
        <w:t>In the usage of the templates to date, then reporters have included the scenario that provides either the most severe scenario in terms of either liquidity coverage ratio or absolute coverage. However, there are situations where reporters would like to include both results, and so this change enables the result sets to be labelled in terms of which condition they have been included.</w:t>
      </w:r>
    </w:p>
    <w:p w14:paraId="02D71A9B" w14:textId="77777777" w:rsidR="00385620" w:rsidRDefault="00385620" w:rsidP="00865C2F"/>
    <w:p w14:paraId="1630F56F" w14:textId="619A8BC4" w:rsidR="71888CDE" w:rsidRDefault="71888CDE"/>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6771FBF3" w14:textId="1A7B6BCB" w:rsidR="00AA5E76" w:rsidRDefault="00AA5E76" w:rsidP="00AA5E76">
      <w:pPr>
        <w:rPr>
          <w:szCs w:val="24"/>
          <w:lang w:val="en-GB"/>
        </w:rPr>
      </w:pPr>
      <w:r>
        <w:rPr>
          <w:szCs w:val="24"/>
          <w:lang w:val="en-GB"/>
        </w:rPr>
        <w:t xml:space="preserve">By default, valid change requests introduced by </w:t>
      </w:r>
      <w:r w:rsidR="008265E8">
        <w:rPr>
          <w:szCs w:val="24"/>
          <w:lang w:val="en-GB"/>
        </w:rPr>
        <w:t>June</w:t>
      </w:r>
      <w:r w:rsidR="00706604">
        <w:rPr>
          <w:szCs w:val="24"/>
          <w:lang w:val="en-GB"/>
        </w:rPr>
        <w:t xml:space="preserve"> </w:t>
      </w:r>
      <w:r>
        <w:rPr>
          <w:szCs w:val="24"/>
          <w:lang w:val="en-GB"/>
        </w:rPr>
        <w:t>1</w:t>
      </w:r>
      <w:r w:rsidR="00523EA7" w:rsidRPr="00523EA7">
        <w:rPr>
          <w:szCs w:val="24"/>
          <w:vertAlign w:val="superscript"/>
          <w:lang w:val="en-GB"/>
        </w:rPr>
        <w:t>st</w:t>
      </w:r>
      <w:r>
        <w:rPr>
          <w:szCs w:val="24"/>
          <w:lang w:val="en-GB"/>
        </w:rPr>
        <w:t xml:space="preserve"> and </w:t>
      </w:r>
      <w:r w:rsidR="008265E8">
        <w:rPr>
          <w:szCs w:val="24"/>
          <w:lang w:val="en-GB"/>
        </w:rPr>
        <w:t xml:space="preserve">subsequently </w:t>
      </w:r>
      <w:r>
        <w:rPr>
          <w:szCs w:val="24"/>
          <w:lang w:val="en-GB"/>
        </w:rPr>
        <w:t>approved by the SEG</w:t>
      </w:r>
      <w:r w:rsidR="005A1AA5">
        <w:rPr>
          <w:szCs w:val="24"/>
          <w:lang w:val="en-GB"/>
        </w:rPr>
        <w:t>/TSG</w:t>
      </w:r>
      <w:r>
        <w:rPr>
          <w:szCs w:val="24"/>
          <w:lang w:val="en-GB"/>
        </w:rPr>
        <w:t xml:space="preserve"> will be included in the following yearly maintenance cycle</w:t>
      </w:r>
      <w:r w:rsidR="00F34C66">
        <w:rPr>
          <w:szCs w:val="24"/>
          <w:lang w:val="en-GB"/>
        </w:rPr>
        <w:t xml:space="preserve"> which completes with the publication of new message versions </w:t>
      </w:r>
      <w:r w:rsidR="005A1AA5">
        <w:rPr>
          <w:szCs w:val="24"/>
          <w:lang w:val="en-GB"/>
        </w:rPr>
        <w:t>by</w:t>
      </w:r>
      <w:r w:rsidR="00F34C66">
        <w:rPr>
          <w:szCs w:val="24"/>
          <w:lang w:val="en-GB"/>
        </w:rPr>
        <w:t xml:space="preserve"> </w:t>
      </w:r>
      <w:r w:rsidR="008265E8">
        <w:rPr>
          <w:szCs w:val="24"/>
          <w:lang w:val="en-GB"/>
        </w:rPr>
        <w:t>April</w:t>
      </w:r>
      <w:r w:rsidR="00594A5F">
        <w:rPr>
          <w:szCs w:val="24"/>
          <w:lang w:val="en-GB"/>
        </w:rPr>
        <w:t>/</w:t>
      </w:r>
      <w:r w:rsidR="008265E8">
        <w:rPr>
          <w:szCs w:val="24"/>
          <w:lang w:val="en-GB"/>
        </w:rPr>
        <w:t xml:space="preserve">May of </w:t>
      </w:r>
      <w:r w:rsidR="00F34C66">
        <w:rPr>
          <w:szCs w:val="24"/>
          <w:lang w:val="en-GB"/>
        </w:rPr>
        <w:t>the following year</w:t>
      </w:r>
      <w:r w:rsidR="003F1C24">
        <w:rPr>
          <w:szCs w:val="24"/>
          <w:lang w:val="en-GB"/>
        </w:rPr>
        <w:t>,</w:t>
      </w:r>
      <w:r>
        <w:rPr>
          <w:szCs w:val="24"/>
          <w:lang w:val="en-GB"/>
        </w:rPr>
        <w:t xml:space="preserve"> </w:t>
      </w:r>
      <w:r w:rsidR="00F34C66">
        <w:rPr>
          <w:szCs w:val="24"/>
          <w:lang w:val="en-GB"/>
        </w:rPr>
        <w:t>unless decided otherwise by the SEG</w:t>
      </w:r>
      <w:r w:rsidR="005A1AA5">
        <w:rPr>
          <w:szCs w:val="24"/>
          <w:lang w:val="en-GB"/>
        </w:rPr>
        <w:t>/TSG</w:t>
      </w:r>
      <w:r w:rsidR="00F34C66">
        <w:rPr>
          <w:szCs w:val="24"/>
          <w:lang w:val="en-GB"/>
        </w:rPr>
        <w:t>.</w:t>
      </w:r>
    </w:p>
    <w:p w14:paraId="1ADB8A32" w14:textId="77777777" w:rsidR="00F34C66" w:rsidRDefault="00CF098A" w:rsidP="00F34C66">
      <w:pPr>
        <w:rPr>
          <w:szCs w:val="24"/>
          <w:lang w:val="en-GB"/>
        </w:rPr>
      </w:pPr>
      <w:r>
        <w:rPr>
          <w:szCs w:val="24"/>
          <w:lang w:val="en-GB"/>
        </w:rPr>
        <w:t xml:space="preserve">If </w:t>
      </w:r>
      <w:r w:rsidR="00F34C66">
        <w:rPr>
          <w:szCs w:val="24"/>
          <w:lang w:val="en-GB"/>
        </w:rPr>
        <w:t xml:space="preserve">there is a need to have the new version of the related messages published earlier, </w:t>
      </w:r>
      <w:r w:rsidR="00BB7F97">
        <w:rPr>
          <w:szCs w:val="24"/>
          <w:lang w:val="en-GB"/>
        </w:rPr>
        <w:t xml:space="preserve">the </w:t>
      </w:r>
      <w:r w:rsidR="00DD422D">
        <w:rPr>
          <w:szCs w:val="24"/>
          <w:lang w:val="en-GB"/>
        </w:rPr>
        <w:t xml:space="preserve">reason for the </w:t>
      </w:r>
      <w:r w:rsidR="00BB7F97">
        <w:rPr>
          <w:szCs w:val="24"/>
          <w:lang w:val="en-GB"/>
        </w:rPr>
        <w:t>urgency of the maintenance</w:t>
      </w:r>
      <w:r w:rsidR="00783891">
        <w:rPr>
          <w:szCs w:val="24"/>
          <w:lang w:val="en-GB"/>
        </w:rPr>
        <w:t xml:space="preserve"> and the expected consequences of a delay</w:t>
      </w:r>
      <w:r w:rsidR="00F34C66">
        <w:rPr>
          <w:szCs w:val="24"/>
          <w:lang w:val="en-GB"/>
        </w:rPr>
        <w:t xml:space="preserve"> should be described here. Acceptance of such an unscheduled maintenance </w:t>
      </w:r>
      <w:r w:rsidR="005A1AA5">
        <w:rPr>
          <w:szCs w:val="24"/>
          <w:lang w:val="en-GB"/>
        </w:rPr>
        <w:t xml:space="preserve">for the BAH </w:t>
      </w:r>
      <w:r w:rsidR="00F34C66">
        <w:rPr>
          <w:szCs w:val="24"/>
          <w:lang w:val="en-GB"/>
        </w:rPr>
        <w:t xml:space="preserve">is subject to approval </w:t>
      </w:r>
      <w:r w:rsidR="00DD422D">
        <w:rPr>
          <w:szCs w:val="24"/>
          <w:lang w:val="en-GB"/>
        </w:rPr>
        <w:t xml:space="preserve">by </w:t>
      </w:r>
      <w:r w:rsidR="005A1AA5">
        <w:rPr>
          <w:szCs w:val="24"/>
          <w:lang w:val="en-GB"/>
        </w:rPr>
        <w:t xml:space="preserve">TSG. Acceptance of an unscheduled maintenance for messages other than the BAH is subject to the approval of </w:t>
      </w:r>
      <w:r w:rsidR="00DD422D">
        <w:rPr>
          <w:szCs w:val="24"/>
          <w:lang w:val="en-GB"/>
        </w:rPr>
        <w:t xml:space="preserve">the </w:t>
      </w:r>
      <w:r w:rsidR="00F34C66">
        <w:rPr>
          <w:szCs w:val="24"/>
          <w:lang w:val="en-GB"/>
        </w:rPr>
        <w:t xml:space="preserve">SEG and availability of a </w:t>
      </w:r>
      <w:r w:rsidR="00DD422D">
        <w:rPr>
          <w:szCs w:val="24"/>
          <w:lang w:val="en-GB"/>
        </w:rPr>
        <w:t xml:space="preserve">submitting organization to develop the new version of the messages. </w:t>
      </w:r>
    </w:p>
    <w:p w14:paraId="73516FBC" w14:textId="0DB5AD70" w:rsidR="00CB683A" w:rsidRPr="0085530C" w:rsidRDefault="00CB683A" w:rsidP="00F34C66">
      <w:pPr>
        <w:rPr>
          <w:i/>
          <w:szCs w:val="24"/>
          <w:lang w:val="en-GB"/>
        </w:rPr>
      </w:pPr>
      <w:r w:rsidRPr="0085530C">
        <w:rPr>
          <w:i/>
          <w:szCs w:val="24"/>
          <w:lang w:val="en-GB"/>
        </w:rPr>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 xml:space="preserve">of such new </w:t>
      </w:r>
      <w:r w:rsidR="00523EA7" w:rsidRPr="0085530C">
        <w:rPr>
          <w:i/>
          <w:sz w:val="23"/>
          <w:szCs w:val="23"/>
        </w:rPr>
        <w:t>versions</w:t>
      </w:r>
      <w:r w:rsidR="0085530C" w:rsidRPr="0085530C">
        <w:rPr>
          <w:i/>
          <w:sz w:val="23"/>
          <w:szCs w:val="23"/>
        </w:rPr>
        <w:t xml:space="preserve"> on networks and in user installations is not within the purview of ISO.</w:t>
      </w:r>
      <w:r w:rsidRPr="0085530C">
        <w:rPr>
          <w:i/>
          <w:szCs w:val="24"/>
          <w:lang w:val="en-GB"/>
        </w:rPr>
        <w:t xml:space="preserve">  </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tbl>
      <w:tblPr>
        <w:tblW w:w="9360" w:type="dxa"/>
        <w:tblInd w:w="108" w:type="dxa"/>
        <w:tblLook w:val="04A0" w:firstRow="1" w:lastRow="0" w:firstColumn="1" w:lastColumn="0" w:noHBand="0" w:noVBand="1"/>
      </w:tblPr>
      <w:tblGrid>
        <w:gridCol w:w="2200"/>
        <w:gridCol w:w="2511"/>
        <w:gridCol w:w="2511"/>
        <w:gridCol w:w="2138"/>
      </w:tblGrid>
      <w:tr w:rsidR="000F0F4C" w:rsidRPr="000F0F4C" w14:paraId="48FD558A" w14:textId="77777777" w:rsidTr="000F0F4C">
        <w:trPr>
          <w:trHeight w:val="290"/>
        </w:trPr>
        <w:tc>
          <w:tcPr>
            <w:tcW w:w="2200" w:type="dxa"/>
            <w:tcBorders>
              <w:top w:val="nil"/>
              <w:left w:val="nil"/>
              <w:bottom w:val="nil"/>
              <w:right w:val="nil"/>
            </w:tcBorders>
            <w:noWrap/>
            <w:vAlign w:val="bottom"/>
            <w:hideMark/>
          </w:tcPr>
          <w:p w14:paraId="712A9F02" w14:textId="77777777" w:rsidR="000F0F4C" w:rsidRPr="000F0F4C" w:rsidRDefault="000F0F4C" w:rsidP="000F0F4C">
            <w:pPr>
              <w:spacing w:before="0"/>
              <w:rPr>
                <w:rFonts w:eastAsia="Times New Roman"/>
                <w:sz w:val="20"/>
                <w:szCs w:val="24"/>
                <w:lang w:val="en-GB" w:eastAsia="en-GB"/>
              </w:rPr>
            </w:pPr>
          </w:p>
        </w:tc>
        <w:tc>
          <w:tcPr>
            <w:tcW w:w="5022" w:type="dxa"/>
            <w:gridSpan w:val="2"/>
            <w:tcBorders>
              <w:top w:val="nil"/>
              <w:left w:val="nil"/>
              <w:bottom w:val="nil"/>
              <w:right w:val="nil"/>
            </w:tcBorders>
            <w:noWrap/>
            <w:vAlign w:val="bottom"/>
            <w:hideMark/>
          </w:tcPr>
          <w:p w14:paraId="0B22FED9" w14:textId="77777777" w:rsidR="000F0F4C" w:rsidRPr="000F0F4C" w:rsidRDefault="000F0F4C" w:rsidP="000F0F4C">
            <w:pPr>
              <w:spacing w:before="0"/>
              <w:jc w:val="center"/>
              <w:rPr>
                <w:rFonts w:ascii="Aptos Narrow" w:eastAsia="Times New Roman" w:hAnsi="Aptos Narrow"/>
                <w:color w:val="000000"/>
                <w:sz w:val="22"/>
                <w:szCs w:val="22"/>
                <w:lang w:val="en-GB" w:eastAsia="en-GB"/>
              </w:rPr>
            </w:pPr>
            <w:r w:rsidRPr="000F0F4C">
              <w:rPr>
                <w:rFonts w:ascii="Aptos Narrow" w:eastAsia="Times New Roman" w:hAnsi="Aptos Narrow"/>
                <w:color w:val="000000"/>
                <w:sz w:val="22"/>
                <w:szCs w:val="22"/>
                <w:lang w:val="en-GB" w:eastAsia="en-GB"/>
              </w:rPr>
              <w:t>ScenarioDfltrs</w:t>
            </w:r>
          </w:p>
        </w:tc>
        <w:tc>
          <w:tcPr>
            <w:tcW w:w="2138" w:type="dxa"/>
            <w:tcBorders>
              <w:top w:val="nil"/>
              <w:left w:val="nil"/>
              <w:bottom w:val="nil"/>
              <w:right w:val="nil"/>
            </w:tcBorders>
            <w:noWrap/>
            <w:vAlign w:val="bottom"/>
            <w:hideMark/>
          </w:tcPr>
          <w:p w14:paraId="58978CB1" w14:textId="77777777" w:rsidR="000F0F4C" w:rsidRPr="000F0F4C" w:rsidRDefault="000F0F4C" w:rsidP="000F0F4C">
            <w:pPr>
              <w:spacing w:before="0"/>
              <w:jc w:val="center"/>
              <w:rPr>
                <w:rFonts w:ascii="Aptos Narrow" w:eastAsia="Times New Roman" w:hAnsi="Aptos Narrow"/>
                <w:color w:val="000000"/>
                <w:sz w:val="22"/>
                <w:szCs w:val="22"/>
                <w:lang w:val="en-GB" w:eastAsia="en-GB"/>
              </w:rPr>
            </w:pPr>
          </w:p>
        </w:tc>
      </w:tr>
      <w:tr w:rsidR="000F0F4C" w:rsidRPr="000F0F4C" w14:paraId="4BD9AB9E" w14:textId="77777777" w:rsidTr="000F0F4C">
        <w:trPr>
          <w:trHeight w:val="290"/>
        </w:trPr>
        <w:tc>
          <w:tcPr>
            <w:tcW w:w="2200" w:type="dxa"/>
            <w:tcBorders>
              <w:top w:val="nil"/>
              <w:left w:val="nil"/>
              <w:bottom w:val="nil"/>
              <w:right w:val="nil"/>
            </w:tcBorders>
            <w:noWrap/>
            <w:vAlign w:val="bottom"/>
            <w:hideMark/>
          </w:tcPr>
          <w:p w14:paraId="39C776E9" w14:textId="77777777" w:rsidR="000F0F4C" w:rsidRPr="000F0F4C" w:rsidRDefault="000F0F4C" w:rsidP="000F0F4C">
            <w:pPr>
              <w:spacing w:before="0"/>
              <w:rPr>
                <w:rFonts w:ascii="Aptos Narrow" w:eastAsia="Times New Roman" w:hAnsi="Aptos Narrow"/>
                <w:color w:val="000000"/>
                <w:sz w:val="22"/>
                <w:szCs w:val="22"/>
                <w:lang w:val="en-GB" w:eastAsia="en-GB"/>
              </w:rPr>
            </w:pPr>
            <w:r w:rsidRPr="000F0F4C">
              <w:rPr>
                <w:rFonts w:ascii="Aptos Narrow" w:eastAsia="Times New Roman" w:hAnsi="Aptos Narrow"/>
                <w:color w:val="000000"/>
                <w:sz w:val="22"/>
                <w:szCs w:val="22"/>
                <w:lang w:val="en-GB" w:eastAsia="en-GB"/>
              </w:rPr>
              <w:t>Liquidity Scenario ID</w:t>
            </w:r>
          </w:p>
        </w:tc>
        <w:tc>
          <w:tcPr>
            <w:tcW w:w="2511" w:type="dxa"/>
            <w:tcBorders>
              <w:top w:val="nil"/>
              <w:left w:val="nil"/>
              <w:bottom w:val="nil"/>
              <w:right w:val="nil"/>
            </w:tcBorders>
            <w:noWrap/>
            <w:vAlign w:val="bottom"/>
            <w:hideMark/>
          </w:tcPr>
          <w:p w14:paraId="34299213" w14:textId="77777777" w:rsidR="000F0F4C" w:rsidRPr="000F0F4C" w:rsidRDefault="000F0F4C" w:rsidP="000F0F4C">
            <w:pPr>
              <w:spacing w:before="0"/>
              <w:rPr>
                <w:rFonts w:ascii="Aptos Narrow" w:eastAsia="Times New Roman" w:hAnsi="Aptos Narrow"/>
                <w:color w:val="000000"/>
                <w:sz w:val="22"/>
                <w:szCs w:val="22"/>
                <w:lang w:val="en-GB" w:eastAsia="en-GB"/>
              </w:rPr>
            </w:pPr>
            <w:r w:rsidRPr="000F0F4C">
              <w:rPr>
                <w:rFonts w:ascii="Aptos Narrow" w:eastAsia="Times New Roman" w:hAnsi="Aptos Narrow"/>
                <w:color w:val="000000"/>
                <w:sz w:val="22"/>
                <w:szCs w:val="22"/>
                <w:lang w:val="en-GB" w:eastAsia="en-GB"/>
              </w:rPr>
              <w:t>Cover1</w:t>
            </w:r>
          </w:p>
        </w:tc>
        <w:tc>
          <w:tcPr>
            <w:tcW w:w="2511" w:type="dxa"/>
            <w:tcBorders>
              <w:top w:val="nil"/>
              <w:left w:val="nil"/>
              <w:bottom w:val="nil"/>
              <w:right w:val="nil"/>
            </w:tcBorders>
            <w:noWrap/>
            <w:vAlign w:val="bottom"/>
            <w:hideMark/>
          </w:tcPr>
          <w:p w14:paraId="39D5BD0B" w14:textId="77777777" w:rsidR="000F0F4C" w:rsidRPr="000F0F4C" w:rsidRDefault="000F0F4C" w:rsidP="000F0F4C">
            <w:pPr>
              <w:spacing w:before="0"/>
              <w:rPr>
                <w:rFonts w:ascii="Aptos Narrow" w:eastAsia="Times New Roman" w:hAnsi="Aptos Narrow"/>
                <w:color w:val="000000"/>
                <w:sz w:val="22"/>
                <w:szCs w:val="22"/>
                <w:lang w:val="en-GB" w:eastAsia="en-GB"/>
              </w:rPr>
            </w:pPr>
            <w:r w:rsidRPr="000F0F4C">
              <w:rPr>
                <w:rFonts w:ascii="Aptos Narrow" w:eastAsia="Times New Roman" w:hAnsi="Aptos Narrow"/>
                <w:color w:val="000000"/>
                <w:sz w:val="22"/>
                <w:szCs w:val="22"/>
                <w:lang w:val="en-GB" w:eastAsia="en-GB"/>
              </w:rPr>
              <w:t>Cover2</w:t>
            </w:r>
          </w:p>
        </w:tc>
        <w:tc>
          <w:tcPr>
            <w:tcW w:w="2138" w:type="dxa"/>
            <w:tcBorders>
              <w:top w:val="nil"/>
              <w:left w:val="nil"/>
              <w:bottom w:val="nil"/>
              <w:right w:val="nil"/>
            </w:tcBorders>
            <w:noWrap/>
            <w:vAlign w:val="bottom"/>
            <w:hideMark/>
          </w:tcPr>
          <w:p w14:paraId="57C2162D" w14:textId="77777777" w:rsidR="000F0F4C" w:rsidRPr="000F0F4C" w:rsidRDefault="000F0F4C" w:rsidP="000F0F4C">
            <w:pPr>
              <w:spacing w:before="0"/>
              <w:rPr>
                <w:rFonts w:ascii="Aptos Narrow" w:eastAsia="Times New Roman" w:hAnsi="Aptos Narrow"/>
                <w:color w:val="000000"/>
                <w:sz w:val="22"/>
                <w:szCs w:val="22"/>
                <w:lang w:val="en-GB" w:eastAsia="en-GB"/>
              </w:rPr>
            </w:pPr>
            <w:r w:rsidRPr="000F0F4C">
              <w:rPr>
                <w:rFonts w:ascii="Aptos Narrow" w:eastAsia="Times New Roman" w:hAnsi="Aptos Narrow"/>
                <w:color w:val="000000"/>
                <w:sz w:val="22"/>
                <w:szCs w:val="22"/>
                <w:lang w:val="en-GB" w:eastAsia="en-GB"/>
              </w:rPr>
              <w:t>Result type label</w:t>
            </w:r>
          </w:p>
        </w:tc>
      </w:tr>
      <w:tr w:rsidR="000F0F4C" w:rsidRPr="000F0F4C" w14:paraId="753C6892" w14:textId="77777777" w:rsidTr="000F0F4C">
        <w:trPr>
          <w:trHeight w:val="290"/>
        </w:trPr>
        <w:tc>
          <w:tcPr>
            <w:tcW w:w="2200" w:type="dxa"/>
            <w:tcBorders>
              <w:top w:val="nil"/>
              <w:left w:val="nil"/>
              <w:bottom w:val="nil"/>
              <w:right w:val="nil"/>
            </w:tcBorders>
            <w:noWrap/>
            <w:vAlign w:val="bottom"/>
            <w:hideMark/>
          </w:tcPr>
          <w:p w14:paraId="78999C1E" w14:textId="77777777" w:rsidR="000F0F4C" w:rsidRPr="000F0F4C" w:rsidRDefault="000F0F4C" w:rsidP="000F0F4C">
            <w:pPr>
              <w:spacing w:before="0"/>
              <w:rPr>
                <w:rFonts w:ascii="Aptos Narrow" w:eastAsia="Times New Roman" w:hAnsi="Aptos Narrow"/>
                <w:color w:val="000000"/>
                <w:sz w:val="22"/>
                <w:szCs w:val="22"/>
                <w:lang w:val="en-GB" w:eastAsia="en-GB"/>
              </w:rPr>
            </w:pPr>
            <w:r w:rsidRPr="000F0F4C">
              <w:rPr>
                <w:rFonts w:ascii="Aptos Narrow" w:eastAsia="Times New Roman" w:hAnsi="Aptos Narrow"/>
                <w:color w:val="000000"/>
                <w:sz w:val="22"/>
                <w:szCs w:val="22"/>
                <w:lang w:val="en-GB" w:eastAsia="en-GB"/>
              </w:rPr>
              <w:t>Scenario1</w:t>
            </w:r>
          </w:p>
        </w:tc>
        <w:tc>
          <w:tcPr>
            <w:tcW w:w="2511" w:type="dxa"/>
            <w:tcBorders>
              <w:top w:val="nil"/>
              <w:left w:val="nil"/>
              <w:bottom w:val="nil"/>
              <w:right w:val="nil"/>
            </w:tcBorders>
            <w:noWrap/>
            <w:vAlign w:val="bottom"/>
            <w:hideMark/>
          </w:tcPr>
          <w:p w14:paraId="3807354B" w14:textId="77777777" w:rsidR="000F0F4C" w:rsidRPr="000F0F4C" w:rsidRDefault="000F0F4C" w:rsidP="000F0F4C">
            <w:pPr>
              <w:spacing w:before="0"/>
              <w:rPr>
                <w:rFonts w:ascii="Aptos Narrow" w:eastAsia="Times New Roman" w:hAnsi="Aptos Narrow"/>
                <w:color w:val="000000"/>
                <w:sz w:val="22"/>
                <w:szCs w:val="22"/>
                <w:lang w:val="en-GB" w:eastAsia="en-GB"/>
              </w:rPr>
            </w:pPr>
            <w:r w:rsidRPr="000F0F4C">
              <w:rPr>
                <w:rFonts w:ascii="Aptos Narrow" w:eastAsia="Times New Roman" w:hAnsi="Aptos Narrow"/>
                <w:color w:val="000000"/>
                <w:sz w:val="22"/>
                <w:szCs w:val="22"/>
                <w:lang w:val="en-GB" w:eastAsia="en-GB"/>
              </w:rPr>
              <w:t>LEI1</w:t>
            </w:r>
          </w:p>
        </w:tc>
        <w:tc>
          <w:tcPr>
            <w:tcW w:w="2511" w:type="dxa"/>
            <w:tcBorders>
              <w:top w:val="nil"/>
              <w:left w:val="nil"/>
              <w:bottom w:val="nil"/>
              <w:right w:val="nil"/>
            </w:tcBorders>
            <w:noWrap/>
            <w:vAlign w:val="bottom"/>
            <w:hideMark/>
          </w:tcPr>
          <w:p w14:paraId="0794449C" w14:textId="77777777" w:rsidR="000F0F4C" w:rsidRPr="000F0F4C" w:rsidRDefault="000F0F4C" w:rsidP="000F0F4C">
            <w:pPr>
              <w:spacing w:before="0"/>
              <w:rPr>
                <w:rFonts w:ascii="Aptos Narrow" w:eastAsia="Times New Roman" w:hAnsi="Aptos Narrow"/>
                <w:color w:val="000000"/>
                <w:sz w:val="22"/>
                <w:szCs w:val="22"/>
                <w:lang w:val="en-GB" w:eastAsia="en-GB"/>
              </w:rPr>
            </w:pPr>
            <w:r w:rsidRPr="000F0F4C">
              <w:rPr>
                <w:rFonts w:ascii="Aptos Narrow" w:eastAsia="Times New Roman" w:hAnsi="Aptos Narrow"/>
                <w:color w:val="000000"/>
                <w:sz w:val="22"/>
                <w:szCs w:val="22"/>
                <w:lang w:val="en-GB" w:eastAsia="en-GB"/>
              </w:rPr>
              <w:t>LEI2</w:t>
            </w:r>
          </w:p>
        </w:tc>
        <w:tc>
          <w:tcPr>
            <w:tcW w:w="2138" w:type="dxa"/>
            <w:tcBorders>
              <w:top w:val="nil"/>
              <w:left w:val="nil"/>
              <w:bottom w:val="nil"/>
              <w:right w:val="nil"/>
            </w:tcBorders>
            <w:noWrap/>
            <w:vAlign w:val="bottom"/>
            <w:hideMark/>
          </w:tcPr>
          <w:p w14:paraId="5E18B74A" w14:textId="77777777" w:rsidR="000F0F4C" w:rsidRPr="000F0F4C" w:rsidRDefault="000F0F4C" w:rsidP="000F0F4C">
            <w:pPr>
              <w:spacing w:before="0"/>
              <w:rPr>
                <w:rFonts w:ascii="Aptos Narrow" w:eastAsia="Times New Roman" w:hAnsi="Aptos Narrow"/>
                <w:color w:val="000000"/>
                <w:sz w:val="22"/>
                <w:szCs w:val="22"/>
                <w:lang w:val="en-GB" w:eastAsia="en-GB"/>
              </w:rPr>
            </w:pPr>
            <w:r w:rsidRPr="000F0F4C">
              <w:rPr>
                <w:rFonts w:ascii="Aptos Narrow" w:eastAsia="Times New Roman" w:hAnsi="Aptos Narrow"/>
                <w:color w:val="000000"/>
                <w:sz w:val="22"/>
                <w:szCs w:val="22"/>
                <w:lang w:val="en-GB" w:eastAsia="en-GB"/>
              </w:rPr>
              <w:t>Liquidity Coverage Ratio</w:t>
            </w:r>
          </w:p>
        </w:tc>
      </w:tr>
      <w:tr w:rsidR="000F0F4C" w:rsidRPr="000F0F4C" w14:paraId="155E9135" w14:textId="77777777" w:rsidTr="000F0F4C">
        <w:trPr>
          <w:trHeight w:val="290"/>
        </w:trPr>
        <w:tc>
          <w:tcPr>
            <w:tcW w:w="2200" w:type="dxa"/>
            <w:tcBorders>
              <w:top w:val="nil"/>
              <w:left w:val="nil"/>
              <w:bottom w:val="nil"/>
              <w:right w:val="nil"/>
            </w:tcBorders>
            <w:noWrap/>
            <w:vAlign w:val="bottom"/>
            <w:hideMark/>
          </w:tcPr>
          <w:p w14:paraId="2984AF50" w14:textId="77777777" w:rsidR="000F0F4C" w:rsidRPr="000F0F4C" w:rsidRDefault="000F0F4C" w:rsidP="000F0F4C">
            <w:pPr>
              <w:spacing w:before="0"/>
              <w:rPr>
                <w:rFonts w:ascii="Aptos Narrow" w:eastAsia="Times New Roman" w:hAnsi="Aptos Narrow"/>
                <w:color w:val="000000"/>
                <w:sz w:val="22"/>
                <w:szCs w:val="22"/>
                <w:lang w:val="en-GB" w:eastAsia="en-GB"/>
              </w:rPr>
            </w:pPr>
            <w:r w:rsidRPr="000F0F4C">
              <w:rPr>
                <w:rFonts w:ascii="Aptos Narrow" w:eastAsia="Times New Roman" w:hAnsi="Aptos Narrow"/>
                <w:color w:val="000000"/>
                <w:sz w:val="22"/>
                <w:szCs w:val="22"/>
                <w:lang w:val="en-GB" w:eastAsia="en-GB"/>
              </w:rPr>
              <w:t>Scenario23</w:t>
            </w:r>
          </w:p>
        </w:tc>
        <w:tc>
          <w:tcPr>
            <w:tcW w:w="2511" w:type="dxa"/>
            <w:tcBorders>
              <w:top w:val="nil"/>
              <w:left w:val="nil"/>
              <w:bottom w:val="nil"/>
              <w:right w:val="nil"/>
            </w:tcBorders>
            <w:noWrap/>
            <w:vAlign w:val="bottom"/>
            <w:hideMark/>
          </w:tcPr>
          <w:p w14:paraId="624656B8" w14:textId="77777777" w:rsidR="000F0F4C" w:rsidRPr="000F0F4C" w:rsidRDefault="000F0F4C" w:rsidP="000F0F4C">
            <w:pPr>
              <w:spacing w:before="0"/>
              <w:rPr>
                <w:rFonts w:ascii="Aptos Narrow" w:eastAsia="Times New Roman" w:hAnsi="Aptos Narrow"/>
                <w:color w:val="000000"/>
                <w:sz w:val="22"/>
                <w:szCs w:val="22"/>
                <w:lang w:val="en-GB" w:eastAsia="en-GB"/>
              </w:rPr>
            </w:pPr>
            <w:r w:rsidRPr="000F0F4C">
              <w:rPr>
                <w:rFonts w:ascii="Aptos Narrow" w:eastAsia="Times New Roman" w:hAnsi="Aptos Narrow"/>
                <w:color w:val="000000"/>
                <w:sz w:val="22"/>
                <w:szCs w:val="22"/>
                <w:lang w:val="en-GB" w:eastAsia="en-GB"/>
              </w:rPr>
              <w:t>LEI7</w:t>
            </w:r>
          </w:p>
        </w:tc>
        <w:tc>
          <w:tcPr>
            <w:tcW w:w="2511" w:type="dxa"/>
            <w:tcBorders>
              <w:top w:val="nil"/>
              <w:left w:val="nil"/>
              <w:bottom w:val="nil"/>
              <w:right w:val="nil"/>
            </w:tcBorders>
            <w:noWrap/>
            <w:vAlign w:val="bottom"/>
            <w:hideMark/>
          </w:tcPr>
          <w:p w14:paraId="3F79B5B3" w14:textId="77777777" w:rsidR="000F0F4C" w:rsidRPr="000F0F4C" w:rsidRDefault="000F0F4C" w:rsidP="000F0F4C">
            <w:pPr>
              <w:spacing w:before="0"/>
              <w:rPr>
                <w:rFonts w:ascii="Aptos Narrow" w:eastAsia="Times New Roman" w:hAnsi="Aptos Narrow"/>
                <w:color w:val="000000"/>
                <w:sz w:val="22"/>
                <w:szCs w:val="22"/>
                <w:lang w:val="en-GB" w:eastAsia="en-GB"/>
              </w:rPr>
            </w:pPr>
            <w:r w:rsidRPr="000F0F4C">
              <w:rPr>
                <w:rFonts w:ascii="Aptos Narrow" w:eastAsia="Times New Roman" w:hAnsi="Aptos Narrow"/>
                <w:color w:val="000000"/>
                <w:sz w:val="22"/>
                <w:szCs w:val="22"/>
                <w:lang w:val="en-GB" w:eastAsia="en-GB"/>
              </w:rPr>
              <w:t>LEI3</w:t>
            </w:r>
          </w:p>
        </w:tc>
        <w:tc>
          <w:tcPr>
            <w:tcW w:w="2138" w:type="dxa"/>
            <w:tcBorders>
              <w:top w:val="nil"/>
              <w:left w:val="nil"/>
              <w:bottom w:val="nil"/>
              <w:right w:val="nil"/>
            </w:tcBorders>
            <w:noWrap/>
            <w:vAlign w:val="bottom"/>
            <w:hideMark/>
          </w:tcPr>
          <w:p w14:paraId="3B3C5A3C" w14:textId="77777777" w:rsidR="000F0F4C" w:rsidRPr="000F0F4C" w:rsidRDefault="000F0F4C" w:rsidP="000F0F4C">
            <w:pPr>
              <w:spacing w:before="0"/>
              <w:rPr>
                <w:rFonts w:ascii="Aptos Narrow" w:eastAsia="Times New Roman" w:hAnsi="Aptos Narrow"/>
                <w:color w:val="000000"/>
                <w:sz w:val="22"/>
                <w:szCs w:val="22"/>
                <w:lang w:val="en-GB" w:eastAsia="en-GB"/>
              </w:rPr>
            </w:pPr>
            <w:r w:rsidRPr="000F0F4C">
              <w:rPr>
                <w:rFonts w:ascii="Aptos Narrow" w:eastAsia="Times New Roman" w:hAnsi="Aptos Narrow"/>
                <w:color w:val="000000"/>
                <w:sz w:val="22"/>
                <w:szCs w:val="22"/>
                <w:lang w:val="en-GB" w:eastAsia="en-GB"/>
              </w:rPr>
              <w:t>Coverage</w:t>
            </w:r>
          </w:p>
        </w:tc>
      </w:tr>
    </w:tbl>
    <w:p w14:paraId="6A638871" w14:textId="77777777" w:rsidR="000F0F4C" w:rsidRDefault="000F0F4C" w:rsidP="00783891">
      <w:pPr>
        <w:rPr>
          <w:lang w:val="en-GB"/>
        </w:rPr>
      </w:pPr>
    </w:p>
    <w:p w14:paraId="34B65B78" w14:textId="29FB894E" w:rsidR="00C41DDB" w:rsidRPr="00E8579D" w:rsidRDefault="00C41DDB" w:rsidP="71888CDE">
      <w:pPr>
        <w:numPr>
          <w:ilvl w:val="0"/>
          <w:numId w:val="6"/>
        </w:numPr>
        <w:rPr>
          <w:b/>
          <w:bCs/>
          <w:color w:val="000000" w:themeColor="text1"/>
          <w:szCs w:val="24"/>
        </w:rPr>
      </w:pPr>
      <w:r w:rsidRPr="71888CDE">
        <w:rPr>
          <w:b/>
          <w:bCs/>
          <w:lang w:val="en-GB"/>
        </w:rPr>
        <w:t>SEG</w:t>
      </w:r>
      <w:r w:rsidR="005A1AA5" w:rsidRPr="71888CDE">
        <w:rPr>
          <w:b/>
          <w:bCs/>
          <w:lang w:val="en-GB"/>
        </w:rPr>
        <w:t>/TSG</w:t>
      </w:r>
      <w:r w:rsidRPr="71888CDE">
        <w:rPr>
          <w:b/>
          <w:bCs/>
          <w:lang w:val="en-GB"/>
        </w:rPr>
        <w:t xml:space="preserve"> recommendation:</w:t>
      </w:r>
    </w:p>
    <w:p w14:paraId="40521687" w14:textId="722DAC77" w:rsidR="00C41DDB" w:rsidRPr="00E8579D" w:rsidRDefault="2442C816" w:rsidP="71888CDE">
      <w:pPr>
        <w:rPr>
          <w:color w:val="000000" w:themeColor="text1"/>
          <w:szCs w:val="24"/>
        </w:rPr>
      </w:pPr>
      <w:r w:rsidRPr="71888CDE">
        <w:rPr>
          <w:color w:val="000000" w:themeColor="text1"/>
          <w:szCs w:val="24"/>
          <w:lang w:val="en-GB"/>
        </w:rPr>
        <w:t xml:space="preserve">☒ Consider   </w:t>
      </w:r>
    </w:p>
    <w:p w14:paraId="4C7F906F" w14:textId="080F593D" w:rsidR="00C41DDB" w:rsidRPr="00E8579D" w:rsidRDefault="2442C816" w:rsidP="71888CDE">
      <w:pPr>
        <w:rPr>
          <w:color w:val="000000" w:themeColor="text1"/>
          <w:szCs w:val="24"/>
        </w:rPr>
      </w:pPr>
      <w:r w:rsidRPr="71888CDE">
        <w:rPr>
          <w:color w:val="000000" w:themeColor="text1"/>
          <w:szCs w:val="24"/>
          <w:lang w:val="en-GB"/>
        </w:rPr>
        <w:t>Timing:</w:t>
      </w:r>
    </w:p>
    <w:p w14:paraId="0AA32906" w14:textId="0AF9A05C" w:rsidR="00C41DDB" w:rsidRPr="00E8579D" w:rsidRDefault="2442C816" w:rsidP="71888CDE">
      <w:pPr>
        <w:rPr>
          <w:color w:val="000000" w:themeColor="text1"/>
          <w:szCs w:val="24"/>
        </w:rPr>
      </w:pPr>
      <w:r w:rsidRPr="71888CDE">
        <w:rPr>
          <w:color w:val="000000" w:themeColor="text1"/>
          <w:szCs w:val="24"/>
          <w:lang w:val="en-GB"/>
        </w:rPr>
        <w:t>☒ Next yearly cycle: 2026/2027</w:t>
      </w:r>
    </w:p>
    <w:p w14:paraId="525D739A" w14:textId="08BF0027" w:rsidR="00C41DDB" w:rsidRPr="00E8579D" w:rsidRDefault="2442C816" w:rsidP="71888CDE">
      <w:pPr>
        <w:rPr>
          <w:color w:val="000000" w:themeColor="text1"/>
          <w:szCs w:val="24"/>
        </w:rPr>
      </w:pPr>
      <w:r w:rsidRPr="71888CDE">
        <w:rPr>
          <w:color w:val="000000" w:themeColor="text1"/>
          <w:szCs w:val="24"/>
          <w:lang w:val="en-GB"/>
        </w:rPr>
        <w:t>☐ At the occasion of the next maintenance of the messages</w:t>
      </w:r>
    </w:p>
    <w:p w14:paraId="6F1F54B7" w14:textId="0FFD5996" w:rsidR="00C41DDB" w:rsidRPr="00E8579D" w:rsidRDefault="2442C816" w:rsidP="71888CDE">
      <w:pPr>
        <w:rPr>
          <w:color w:val="000000" w:themeColor="text1"/>
          <w:szCs w:val="24"/>
        </w:rPr>
      </w:pPr>
      <w:r w:rsidRPr="71888CDE">
        <w:rPr>
          <w:color w:val="000000" w:themeColor="text1"/>
          <w:szCs w:val="24"/>
          <w:lang w:val="en-GB"/>
        </w:rPr>
        <w:t>☐ Urgent unscheduled</w:t>
      </w:r>
    </w:p>
    <w:p w14:paraId="11390F83" w14:textId="4F8B9BD6" w:rsidR="00C41DDB" w:rsidRPr="00E8579D" w:rsidRDefault="2442C816" w:rsidP="71888CDE">
      <w:pPr>
        <w:rPr>
          <w:color w:val="000000" w:themeColor="text1"/>
          <w:szCs w:val="24"/>
        </w:rPr>
      </w:pPr>
      <w:r w:rsidRPr="71888CDE">
        <w:rPr>
          <w:color w:val="000000" w:themeColor="text1"/>
          <w:szCs w:val="24"/>
          <w:lang w:val="en-GB"/>
        </w:rPr>
        <w:t>☐ Other timing:</w:t>
      </w:r>
    </w:p>
    <w:p w14:paraId="7FEC425D" w14:textId="6DBA58A5" w:rsidR="00C41DDB" w:rsidRPr="00E8579D" w:rsidRDefault="00C41DDB" w:rsidP="71888CDE">
      <w:pPr>
        <w:pStyle w:val="ListParagraph"/>
        <w:ind w:left="360"/>
        <w:rPr>
          <w:color w:val="000000" w:themeColor="text1"/>
          <w:szCs w:val="24"/>
        </w:rPr>
      </w:pPr>
    </w:p>
    <w:p w14:paraId="526DB5C2" w14:textId="42674EFA" w:rsidR="00C41DDB" w:rsidRPr="00E8579D" w:rsidRDefault="2442C816" w:rsidP="71888CDE">
      <w:pPr>
        <w:rPr>
          <w:color w:val="000000" w:themeColor="text1"/>
          <w:szCs w:val="24"/>
        </w:rPr>
      </w:pPr>
      <w:r w:rsidRPr="71888CDE">
        <w:rPr>
          <w:color w:val="000000" w:themeColor="text1"/>
          <w:szCs w:val="24"/>
          <w:lang w:val="en-GB"/>
        </w:rPr>
        <w:t>☐ Reject</w:t>
      </w:r>
    </w:p>
    <w:p w14:paraId="6078550A" w14:textId="682650DF" w:rsidR="00C41DDB" w:rsidRPr="00E8579D" w:rsidRDefault="2442C816" w:rsidP="71888CDE">
      <w:pPr>
        <w:rPr>
          <w:color w:val="000000" w:themeColor="text1"/>
          <w:szCs w:val="24"/>
        </w:rPr>
      </w:pPr>
      <w:r w:rsidRPr="71888CDE">
        <w:rPr>
          <w:color w:val="000000" w:themeColor="text1"/>
          <w:szCs w:val="24"/>
          <w:lang w:val="en-GB"/>
        </w:rPr>
        <w:t>Reason for rejection:</w:t>
      </w:r>
    </w:p>
    <w:p w14:paraId="4FE8C7D5" w14:textId="67A46D67" w:rsidR="00C41DDB" w:rsidRPr="00E8579D" w:rsidRDefault="00C41DDB" w:rsidP="71888CDE">
      <w:pPr>
        <w:pStyle w:val="ListParagraph"/>
        <w:ind w:left="360"/>
        <w:rPr>
          <w:color w:val="000000" w:themeColor="text1"/>
          <w:szCs w:val="24"/>
        </w:rPr>
      </w:pPr>
    </w:p>
    <w:p w14:paraId="151459B7" w14:textId="28577A99" w:rsidR="00C41DDB" w:rsidRPr="00E8579D" w:rsidRDefault="2442C816" w:rsidP="71888CDE">
      <w:pPr>
        <w:rPr>
          <w:color w:val="000000" w:themeColor="text1"/>
          <w:szCs w:val="24"/>
          <w:lang w:val="en-GB"/>
        </w:rPr>
      </w:pPr>
      <w:r w:rsidRPr="71888CDE">
        <w:rPr>
          <w:color w:val="000000" w:themeColor="text1"/>
          <w:szCs w:val="24"/>
          <w:lang w:val="en-GB"/>
        </w:rPr>
        <w:t>Comments:</w:t>
      </w:r>
    </w:p>
    <w:sectPr w:rsidR="00C41DDB" w:rsidRPr="00E8579D" w:rsidSect="000A172E">
      <w:headerReference w:type="even" r:id="rId13"/>
      <w:headerReference w:type="default" r:id="rId14"/>
      <w:footerReference w:type="even" r:id="rId15"/>
      <w:footerReference w:type="default" r:id="rId16"/>
      <w:headerReference w:type="first" r:id="rId17"/>
      <w:footerReference w:type="first" r:id="rId18"/>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43EAB" w14:textId="77777777" w:rsidR="00822E55" w:rsidRDefault="00822E55">
      <w:r>
        <w:separator/>
      </w:r>
    </w:p>
  </w:endnote>
  <w:endnote w:type="continuationSeparator" w:id="0">
    <w:p w14:paraId="448B2985" w14:textId="77777777" w:rsidR="00822E55" w:rsidRDefault="00822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A4CC"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6DEF3C1D" w:rsidR="00567F13" w:rsidRDefault="00633B0A">
    <w:pPr>
      <w:pStyle w:val="Footer"/>
      <w:rPr>
        <w:rStyle w:val="PageNumber"/>
      </w:rPr>
    </w:pPr>
    <w:fldSimple w:instr="FILENAME   \* MERGEFORMAT">
      <w:r w:rsidR="00BE5B88">
        <w:rPr>
          <w:noProof/>
        </w:rPr>
        <w:t>CR1610_BoE_CCPLiquidityStressTestingLabelSet_CCPSupervisoryReporting_v2.docx</w:t>
      </w:r>
    </w:fldSimple>
    <w:r w:rsidR="00567F13">
      <w:tab/>
    </w:r>
    <w:r w:rsidR="006D6C28">
      <w:tab/>
    </w:r>
    <w:r w:rsidR="00567F13">
      <w:t xml:space="preserve">Produced by </w:t>
    </w:r>
    <w:r w:rsidR="006D6C28">
      <w:t>Bank of England</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115F"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A9002" w14:textId="77777777" w:rsidR="00822E55" w:rsidRDefault="00822E55">
      <w:r>
        <w:separator/>
      </w:r>
    </w:p>
  </w:footnote>
  <w:footnote w:type="continuationSeparator" w:id="0">
    <w:p w14:paraId="7D4EE287" w14:textId="77777777" w:rsidR="00822E55" w:rsidRDefault="00822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B31C" w14:textId="77777777"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6922537A" w:rsidR="00E74C04" w:rsidRPr="00801493" w:rsidRDefault="00801493">
    <w:pPr>
      <w:pStyle w:val="Header"/>
      <w:rPr>
        <w:lang w:val="fr-BE"/>
      </w:rPr>
    </w:pPr>
    <w:r>
      <w:rPr>
        <w:lang w:val="fr-BE"/>
      </w:rPr>
      <w:t xml:space="preserve">RA ID : </w:t>
    </w:r>
    <w:r w:rsidR="00E17BF7">
      <w:rPr>
        <w:lang w:val="fr-BE"/>
      </w:rPr>
      <w:t>CR1610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F4DD" w14:textId="7777777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E9A91C0"/>
    <w:lvl w:ilvl="0" w:tplc="EBEC7E98">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5"/>
  </w:num>
  <w:num w:numId="6" w16cid:durableId="1944336248">
    <w:abstractNumId w:val="8"/>
  </w:num>
  <w:num w:numId="7" w16cid:durableId="728386006">
    <w:abstractNumId w:val="11"/>
  </w:num>
  <w:num w:numId="8" w16cid:durableId="1187863317">
    <w:abstractNumId w:val="9"/>
  </w:num>
  <w:num w:numId="9" w16cid:durableId="1549537704">
    <w:abstractNumId w:val="14"/>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0F4C"/>
    <w:rsid w:val="000F3C8B"/>
    <w:rsid w:val="000F43E3"/>
    <w:rsid w:val="00101212"/>
    <w:rsid w:val="00101D5F"/>
    <w:rsid w:val="00103124"/>
    <w:rsid w:val="00105754"/>
    <w:rsid w:val="0012701C"/>
    <w:rsid w:val="00130EB9"/>
    <w:rsid w:val="0014379C"/>
    <w:rsid w:val="00153ED1"/>
    <w:rsid w:val="00163DB3"/>
    <w:rsid w:val="001711D3"/>
    <w:rsid w:val="00185453"/>
    <w:rsid w:val="00185E8E"/>
    <w:rsid w:val="001B1858"/>
    <w:rsid w:val="001D0D1B"/>
    <w:rsid w:val="001D176B"/>
    <w:rsid w:val="001D20B3"/>
    <w:rsid w:val="001D5641"/>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1273"/>
    <w:rsid w:val="00324C6F"/>
    <w:rsid w:val="00332E8F"/>
    <w:rsid w:val="00336209"/>
    <w:rsid w:val="00336ED6"/>
    <w:rsid w:val="00360300"/>
    <w:rsid w:val="00380928"/>
    <w:rsid w:val="00385620"/>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1557C"/>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F0578"/>
    <w:rsid w:val="004F0934"/>
    <w:rsid w:val="004F61D5"/>
    <w:rsid w:val="0050171A"/>
    <w:rsid w:val="00520C9C"/>
    <w:rsid w:val="0052302E"/>
    <w:rsid w:val="00523EA7"/>
    <w:rsid w:val="005246BE"/>
    <w:rsid w:val="005411C7"/>
    <w:rsid w:val="00555709"/>
    <w:rsid w:val="00563FFF"/>
    <w:rsid w:val="005677B8"/>
    <w:rsid w:val="00567F13"/>
    <w:rsid w:val="00573C83"/>
    <w:rsid w:val="00577861"/>
    <w:rsid w:val="00577BCC"/>
    <w:rsid w:val="005810CA"/>
    <w:rsid w:val="0058193F"/>
    <w:rsid w:val="00581FBB"/>
    <w:rsid w:val="005844C9"/>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77335"/>
    <w:rsid w:val="006A02BC"/>
    <w:rsid w:val="006A7B96"/>
    <w:rsid w:val="006B20DC"/>
    <w:rsid w:val="006D4A37"/>
    <w:rsid w:val="006D6C28"/>
    <w:rsid w:val="006E2522"/>
    <w:rsid w:val="006E3DEC"/>
    <w:rsid w:val="00706604"/>
    <w:rsid w:val="007118C4"/>
    <w:rsid w:val="00723DE0"/>
    <w:rsid w:val="00732595"/>
    <w:rsid w:val="0074349F"/>
    <w:rsid w:val="0075466C"/>
    <w:rsid w:val="007705D2"/>
    <w:rsid w:val="00774921"/>
    <w:rsid w:val="00780203"/>
    <w:rsid w:val="00780877"/>
    <w:rsid w:val="00783891"/>
    <w:rsid w:val="00783E6C"/>
    <w:rsid w:val="007949EA"/>
    <w:rsid w:val="007A13B4"/>
    <w:rsid w:val="007A4CCC"/>
    <w:rsid w:val="007A6E0D"/>
    <w:rsid w:val="007B3927"/>
    <w:rsid w:val="007C7AB4"/>
    <w:rsid w:val="007C7CD2"/>
    <w:rsid w:val="007D3EB0"/>
    <w:rsid w:val="007D655B"/>
    <w:rsid w:val="007D69B5"/>
    <w:rsid w:val="007D6A9F"/>
    <w:rsid w:val="007E64D9"/>
    <w:rsid w:val="007F6A8C"/>
    <w:rsid w:val="00801493"/>
    <w:rsid w:val="008050F5"/>
    <w:rsid w:val="0081068B"/>
    <w:rsid w:val="00811DCF"/>
    <w:rsid w:val="00812324"/>
    <w:rsid w:val="00814D4C"/>
    <w:rsid w:val="00822E55"/>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79BF"/>
    <w:rsid w:val="00937D26"/>
    <w:rsid w:val="00951C86"/>
    <w:rsid w:val="00954EED"/>
    <w:rsid w:val="00956D7A"/>
    <w:rsid w:val="00965199"/>
    <w:rsid w:val="00966046"/>
    <w:rsid w:val="009770EE"/>
    <w:rsid w:val="009C1445"/>
    <w:rsid w:val="00A10221"/>
    <w:rsid w:val="00A16FA2"/>
    <w:rsid w:val="00A21B8D"/>
    <w:rsid w:val="00A22F1A"/>
    <w:rsid w:val="00A25B84"/>
    <w:rsid w:val="00A31BF8"/>
    <w:rsid w:val="00A32450"/>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BE5B88"/>
    <w:rsid w:val="00C06496"/>
    <w:rsid w:val="00C122AE"/>
    <w:rsid w:val="00C17665"/>
    <w:rsid w:val="00C32DF8"/>
    <w:rsid w:val="00C40729"/>
    <w:rsid w:val="00C41DDB"/>
    <w:rsid w:val="00C4229A"/>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42175"/>
    <w:rsid w:val="00D51B61"/>
    <w:rsid w:val="00D56571"/>
    <w:rsid w:val="00D67DE0"/>
    <w:rsid w:val="00D73E09"/>
    <w:rsid w:val="00D74F66"/>
    <w:rsid w:val="00D82FBD"/>
    <w:rsid w:val="00D9338F"/>
    <w:rsid w:val="00D9582C"/>
    <w:rsid w:val="00DA043A"/>
    <w:rsid w:val="00DA116C"/>
    <w:rsid w:val="00DA22C9"/>
    <w:rsid w:val="00DB3A62"/>
    <w:rsid w:val="00DB419A"/>
    <w:rsid w:val="00DC195F"/>
    <w:rsid w:val="00DC68D5"/>
    <w:rsid w:val="00DD37B4"/>
    <w:rsid w:val="00DD422D"/>
    <w:rsid w:val="00E0487B"/>
    <w:rsid w:val="00E11D29"/>
    <w:rsid w:val="00E1588B"/>
    <w:rsid w:val="00E17BF7"/>
    <w:rsid w:val="00E256FC"/>
    <w:rsid w:val="00E3221E"/>
    <w:rsid w:val="00E37E77"/>
    <w:rsid w:val="00E5111B"/>
    <w:rsid w:val="00E67D1B"/>
    <w:rsid w:val="00E74C04"/>
    <w:rsid w:val="00E7537D"/>
    <w:rsid w:val="00E76E67"/>
    <w:rsid w:val="00E80995"/>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034F"/>
    <w:rsid w:val="00F91D83"/>
    <w:rsid w:val="00F91F93"/>
    <w:rsid w:val="00F93A64"/>
    <w:rsid w:val="00F94A2A"/>
    <w:rsid w:val="00FA112C"/>
    <w:rsid w:val="00FB56E2"/>
    <w:rsid w:val="00FC5011"/>
    <w:rsid w:val="00FD0B96"/>
    <w:rsid w:val="00FD54A5"/>
    <w:rsid w:val="00FD58BE"/>
    <w:rsid w:val="00FE6405"/>
    <w:rsid w:val="00FF4AEF"/>
    <w:rsid w:val="2442C816"/>
    <w:rsid w:val="71888C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uiPriority w:val="34"/>
    <w:qFormat/>
    <w:rsid w:val="71888C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so20022.org/catalogue_of_messages.pag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MSKTH6SNCJSU-234293521-54081</_dlc_DocId>
    <_dlc_DocIdUrl xmlns="806285ac-449a-4fb1-8311-58d88e150cc7">
      <Url>https://swiftcorp.sharepoint.com/sites/ps-ow-standards team/_layouts/15/DocIdRedir.aspx?ID=MSKTH6SNCJSU-234293521-54081</Url>
      <Description>MSKTH6SNCJSU-234293521-54081</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B7F75-C52B-472D-88B8-18D43883AE9B}">
  <ds:schemaRefs>
    <ds:schemaRef ds:uri="http://schemas.microsoft.com/sharepoint/events"/>
  </ds:schemaRefs>
</ds:datastoreItem>
</file>

<file path=customXml/itemProps2.xml><?xml version="1.0" encoding="utf-8"?>
<ds:datastoreItem xmlns:ds="http://schemas.openxmlformats.org/officeDocument/2006/customXml" ds:itemID="{D3CB7675-2A9F-40A2-835E-A2886557A79F}">
  <ds:schemaRefs>
    <ds:schemaRef ds:uri="http://schemas.microsoft.com/sharepoint/v3/contenttype/forms"/>
  </ds:schemaRefs>
</ds:datastoreItem>
</file>

<file path=customXml/itemProps3.xml><?xml version="1.0" encoding="utf-8"?>
<ds:datastoreItem xmlns:ds="http://schemas.openxmlformats.org/officeDocument/2006/customXml" ds:itemID="{71C51422-D018-49B5-9E55-FA0FB3BD9994}">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4.xml><?xml version="1.0" encoding="utf-8"?>
<ds:datastoreItem xmlns:ds="http://schemas.openxmlformats.org/officeDocument/2006/customXml" ds:itemID="{5ED5CDA2-047B-448D-8701-E0EDF70EE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826</Words>
  <Characters>4547</Characters>
  <Application>Microsoft Office Word</Application>
  <DocSecurity>0</DocSecurity>
  <Lines>37</Lines>
  <Paragraphs>10</Paragraphs>
  <ScaleCrop>false</ScaleCrop>
  <Company>S.W.I.F.T. sc</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5</cp:revision>
  <cp:lastPrinted>2009-03-10T11:18:00Z</cp:lastPrinted>
  <dcterms:created xsi:type="dcterms:W3CDTF">2026-06-02T12:27:00Z</dcterms:created>
  <dcterms:modified xsi:type="dcterms:W3CDTF">2026-07-06T16:33:00Z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e6aac602-904e-4d71-bfde-0544608c3b6f</vt:lpwstr>
  </property>
  <property fmtid="{D5CDD505-2E9C-101B-9397-08002B2CF9AE}" pid="11" name="MediaServiceImageTags">
    <vt:lpwstr/>
  </property>
</Properties>
</file>