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sidRPr="12CDED74">
        <w:rPr>
          <w:b/>
          <w:bCs/>
          <w:smallCaps/>
          <w:lang w:val="en-GB"/>
        </w:rPr>
        <w:t xml:space="preserve">for the update of </w:t>
      </w:r>
      <w:r w:rsidR="00865C2F" w:rsidRPr="12CDED74">
        <w:rPr>
          <w:b/>
          <w:bCs/>
          <w:smallCaps/>
          <w:lang w:val="en-GB"/>
        </w:rPr>
        <w:t>ISO 20022 financial repository</w:t>
      </w:r>
      <w:r w:rsidR="00DD37B4" w:rsidRPr="12CDED74">
        <w:rPr>
          <w:b/>
          <w:bCs/>
          <w:smallCaps/>
          <w:lang w:val="en-GB"/>
        </w:rPr>
        <w:t xml:space="preserve"> items</w:t>
      </w:r>
    </w:p>
    <w:p w14:paraId="01A018A9" w14:textId="77777777" w:rsidR="008B5BD4" w:rsidRDefault="008B5BD4"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50B716C4"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initiative or community that submits the change request. </w:t>
      </w:r>
    </w:p>
    <w:p w14:paraId="7877EAE3" w14:textId="5F1761C9" w:rsidR="00817F6F" w:rsidRDefault="00817F6F" w:rsidP="008438AF">
      <w:pPr>
        <w:rPr>
          <w:szCs w:val="24"/>
          <w:lang w:val="en-GB"/>
        </w:rPr>
      </w:pPr>
      <w:r>
        <w:rPr>
          <w:szCs w:val="24"/>
          <w:lang w:val="en-GB"/>
        </w:rPr>
        <w:t>Bank of England</w:t>
      </w: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09ECA496" w14:textId="6BA2244D" w:rsidR="00817F6F" w:rsidRDefault="00817F6F" w:rsidP="008438AF">
      <w:pPr>
        <w:rPr>
          <w:szCs w:val="24"/>
          <w:lang w:val="en-GB"/>
        </w:rPr>
      </w:pPr>
      <w:r>
        <w:rPr>
          <w:szCs w:val="24"/>
          <w:lang w:val="en-GB"/>
        </w:rPr>
        <w:t>John Aveson (john.aveson@bankofengland.co.uk)</w:t>
      </w: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BB5150C" w14:textId="77777777" w:rsidR="008B5BD4" w:rsidRDefault="008B5BD4"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075DBD05"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2"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4CF582EC" w:rsidR="00854FA6" w:rsidRDefault="00854FA6" w:rsidP="00854FA6">
      <w:pPr>
        <w:rPr>
          <w:szCs w:val="24"/>
          <w:lang w:val="en-GB"/>
        </w:rPr>
      </w:pPr>
      <w:r>
        <w:rPr>
          <w:szCs w:val="24"/>
          <w:lang w:val="en-GB"/>
        </w:rPr>
        <w:t>The submitter is invited to carefully examine whether the change may have an impact on other messages that come into play earlier or later in the transaction chain or on other messages that also use message components that this change request may impact.</w:t>
      </w:r>
    </w:p>
    <w:p w14:paraId="52AA2240" w14:textId="77777777" w:rsidR="00817F6F" w:rsidRDefault="00817F6F" w:rsidP="00854FA6">
      <w:pPr>
        <w:rPr>
          <w:szCs w:val="24"/>
          <w:lang w:val="en-GB"/>
        </w:rPr>
      </w:pPr>
    </w:p>
    <w:p w14:paraId="29022AA4" w14:textId="4C3C09FD" w:rsidR="00817F6F" w:rsidRDefault="002C3AD0" w:rsidP="00854FA6">
      <w:pPr>
        <w:rPr>
          <w:szCs w:val="24"/>
          <w:lang w:val="en-GB"/>
        </w:rPr>
      </w:pPr>
      <w:r w:rsidRPr="002C3AD0">
        <w:rPr>
          <w:szCs w:val="24"/>
        </w:rPr>
        <w:t>auth.069.001.03</w:t>
      </w:r>
      <w:r>
        <w:rPr>
          <w:szCs w:val="24"/>
        </w:rPr>
        <w:t xml:space="preserve"> ClearedProductReportV03</w:t>
      </w:r>
    </w:p>
    <w:p w14:paraId="276A6F9D" w14:textId="77777777" w:rsidR="00817F6F" w:rsidRPr="00451986" w:rsidRDefault="00817F6F"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6A4EBFAE" w14:textId="77777777" w:rsidR="002C3AD0" w:rsidRDefault="002C3AD0" w:rsidP="000408BA">
      <w:pPr>
        <w:rPr>
          <w:szCs w:val="24"/>
          <w:lang w:val="en-GB"/>
        </w:rPr>
      </w:pPr>
    </w:p>
    <w:p w14:paraId="5C62C6F1" w14:textId="06501F9B" w:rsidR="002C3AD0" w:rsidRDefault="007F6A2A" w:rsidP="000408BA">
      <w:pPr>
        <w:rPr>
          <w:szCs w:val="24"/>
          <w:lang w:val="en-GB"/>
        </w:rPr>
      </w:pPr>
      <w:r>
        <w:rPr>
          <w:noProof/>
          <w:szCs w:val="24"/>
          <w:lang w:val="en-GB"/>
        </w:rPr>
        <w:drawing>
          <wp:inline distT="0" distB="0" distL="0" distR="0" wp14:anchorId="43309D96" wp14:editId="51D227DD">
            <wp:extent cx="569595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5950" cy="1638300"/>
                    </a:xfrm>
                    <a:prstGeom prst="rect">
                      <a:avLst/>
                    </a:prstGeom>
                    <a:noFill/>
                    <a:ln>
                      <a:noFill/>
                    </a:ln>
                  </pic:spPr>
                </pic:pic>
              </a:graphicData>
            </a:graphic>
          </wp:inline>
        </w:drawing>
      </w:r>
    </w:p>
    <w:p w14:paraId="74FC88F0" w14:textId="1A64E2D1" w:rsidR="002C3AD0" w:rsidRDefault="00861A52" w:rsidP="000408BA">
      <w:pPr>
        <w:rPr>
          <w:szCs w:val="24"/>
          <w:lang w:val="en-GB"/>
        </w:rPr>
      </w:pPr>
      <w:r>
        <w:rPr>
          <w:szCs w:val="24"/>
          <w:lang w:val="en-GB"/>
        </w:rPr>
        <w:t>The proposed change is to add to the existing ClearedProduct3 (shown) complex type a new field Backtesting result. This would contain a mandatory Boolean field to indicate if the account is in breach, and</w:t>
      </w:r>
      <w:r w:rsidR="00D27AC6">
        <w:rPr>
          <w:szCs w:val="24"/>
          <w:lang w:val="en-GB"/>
        </w:rPr>
        <w:t xml:space="preserve"> if TRUE, the size of the exception.</w:t>
      </w:r>
      <w:r w:rsidR="00D65E88">
        <w:rPr>
          <w:szCs w:val="24"/>
          <w:lang w:val="en-GB"/>
        </w:rPr>
        <w:t xml:space="preserve"> There would additionally be a Description field to elucidate the nature of the portfolio that should be</w:t>
      </w:r>
      <w:r w:rsidR="00E10AAE">
        <w:rPr>
          <w:szCs w:val="24"/>
          <w:lang w:val="en-GB"/>
        </w:rPr>
        <w:t xml:space="preserve"> processed for backtesting in order to populate the result.</w:t>
      </w:r>
    </w:p>
    <w:p w14:paraId="03BCCB63" w14:textId="77777777" w:rsidR="002C3AD0" w:rsidRDefault="002C3AD0" w:rsidP="000408BA">
      <w:pPr>
        <w:rPr>
          <w:szCs w:val="24"/>
          <w:lang w:val="en-GB"/>
        </w:rPr>
      </w:pPr>
    </w:p>
    <w:p w14:paraId="3BB91AEE" w14:textId="65AF8B42" w:rsidR="005246BE" w:rsidRDefault="005246BE" w:rsidP="12CDED74">
      <w:pPr>
        <w:numPr>
          <w:ilvl w:val="0"/>
          <w:numId w:val="6"/>
        </w:numPr>
        <w:rPr>
          <w:b/>
          <w:bCs/>
          <w:lang w:val="en-GB"/>
        </w:rPr>
      </w:pPr>
      <w:r w:rsidRPr="12CDED74">
        <w:rPr>
          <w:b/>
          <w:bCs/>
          <w:lang w:val="en-GB"/>
        </w:rPr>
        <w:t xml:space="preserve">Purpose of the </w:t>
      </w:r>
      <w:r w:rsidR="00577861" w:rsidRPr="12CDED74">
        <w:rPr>
          <w:b/>
          <w:bCs/>
          <w:lang w:val="en-GB"/>
        </w:rPr>
        <w:t>change</w:t>
      </w:r>
      <w:r w:rsidRPr="12CDED74">
        <w:rPr>
          <w:b/>
          <w:bCs/>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0ED128E0"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p>
    <w:p w14:paraId="1B88B80F" w14:textId="3700C227" w:rsidR="00B5485B" w:rsidRDefault="00B5485B" w:rsidP="00865C2F">
      <w:r>
        <w:t xml:space="preserve">The </w:t>
      </w:r>
      <w:r w:rsidR="00E7512C">
        <w:t xml:space="preserve">intent behind the proposed change is to gain visibility of products cleared by the CCP that are particularly prone to </w:t>
      </w:r>
      <w:r w:rsidR="00717D02">
        <w:t xml:space="preserve">backtesting breaches and thus identify potential areas </w:t>
      </w:r>
      <w:r w:rsidR="00814F34">
        <w:t>where margin models could be improved.</w:t>
      </w:r>
    </w:p>
    <w:p w14:paraId="7DDD3637" w14:textId="77777777" w:rsidR="00B5485B" w:rsidRDefault="00B5485B"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1A7B6BCB"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1</w:t>
      </w:r>
      <w:r w:rsidR="00523EA7" w:rsidRPr="00523EA7">
        <w:rPr>
          <w:szCs w:val="24"/>
          <w:vertAlign w:val="superscript"/>
          <w:lang w:val="en-GB"/>
        </w:rPr>
        <w:t>st</w:t>
      </w:r>
      <w:r>
        <w:rPr>
          <w:szCs w:val="24"/>
          <w:lang w:val="en-GB"/>
        </w:rPr>
        <w:t xml:space="preserve">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6B8BFAAC" w14:textId="3FC86C31" w:rsidR="00F34C66" w:rsidRDefault="00CF098A" w:rsidP="00F34C66">
      <w:r w:rsidRPr="12CDED74">
        <w:rPr>
          <w:lang w:val="en-GB"/>
        </w:rPr>
        <w:t xml:space="preserve">If </w:t>
      </w:r>
      <w:r w:rsidR="00F34C66" w:rsidRPr="12CDED74">
        <w:rPr>
          <w:lang w:val="en-GB"/>
        </w:rPr>
        <w:t xml:space="preserve">there is a need to have the new version of the related messages published earlier, </w:t>
      </w:r>
      <w:r w:rsidR="00BB7F97" w:rsidRPr="12CDED74">
        <w:rPr>
          <w:lang w:val="en-GB"/>
        </w:rPr>
        <w:t xml:space="preserve">the </w:t>
      </w:r>
      <w:r w:rsidR="00DD422D" w:rsidRPr="12CDED74">
        <w:rPr>
          <w:lang w:val="en-GB"/>
        </w:rPr>
        <w:t xml:space="preserve">reason for the </w:t>
      </w:r>
      <w:r w:rsidR="00BB7F97" w:rsidRPr="12CDED74">
        <w:rPr>
          <w:lang w:val="en-GB"/>
        </w:rPr>
        <w:t>urgency of the maintenance</w:t>
      </w:r>
      <w:r w:rsidR="00783891" w:rsidRPr="12CDED74">
        <w:rPr>
          <w:lang w:val="en-GB"/>
        </w:rPr>
        <w:t xml:space="preserve"> and the expected consequences of a delay</w:t>
      </w:r>
      <w:r w:rsidR="00F34C66" w:rsidRPr="12CDED74">
        <w:rPr>
          <w:lang w:val="en-GB"/>
        </w:rPr>
        <w:t xml:space="preserve"> should be described here. Acceptance of such an unscheduled maintenance </w:t>
      </w:r>
      <w:r w:rsidR="005A1AA5" w:rsidRPr="12CDED74">
        <w:rPr>
          <w:lang w:val="en-GB"/>
        </w:rPr>
        <w:t xml:space="preserve">for the BAH </w:t>
      </w:r>
      <w:r w:rsidR="00F34C66" w:rsidRPr="12CDED74">
        <w:rPr>
          <w:lang w:val="en-GB"/>
        </w:rPr>
        <w:t xml:space="preserve">is subject to approval </w:t>
      </w:r>
      <w:r w:rsidR="00DD422D" w:rsidRPr="12CDED74">
        <w:rPr>
          <w:lang w:val="en-GB"/>
        </w:rPr>
        <w:t xml:space="preserve">by </w:t>
      </w:r>
      <w:r w:rsidR="005A1AA5" w:rsidRPr="12CDED74">
        <w:rPr>
          <w:lang w:val="en-GB"/>
        </w:rPr>
        <w:t xml:space="preserve">TSG. Acceptance of an unscheduled maintenance for messages other than the BAH is subject to the approval of </w:t>
      </w:r>
      <w:r w:rsidR="00DD422D" w:rsidRPr="12CDED74">
        <w:rPr>
          <w:lang w:val="en-GB"/>
        </w:rPr>
        <w:t xml:space="preserve">the </w:t>
      </w:r>
      <w:r w:rsidR="00F34C66" w:rsidRPr="12CDED74">
        <w:rPr>
          <w:lang w:val="en-GB"/>
        </w:rPr>
        <w:t xml:space="preserve">SEG and availability of a </w:t>
      </w:r>
      <w:r w:rsidR="00DD422D" w:rsidRPr="12CDED74">
        <w:rPr>
          <w:lang w:val="en-GB"/>
        </w:rPr>
        <w:t>submitting organization to develop the new version of the messages.</w:t>
      </w:r>
    </w:p>
    <w:p w14:paraId="1ADB8A32" w14:textId="44426D25" w:rsidR="00F34C66" w:rsidRDefault="00DD422D" w:rsidP="12CDED74">
      <w:pPr>
        <w:rPr>
          <w:lang w:val="en-GB"/>
        </w:rPr>
      </w:pPr>
      <w:r w:rsidRPr="12CDED74">
        <w:rPr>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27647E4F" w14:textId="77777777" w:rsidR="00C2087D" w:rsidRDefault="00C2087D" w:rsidP="00783891">
      <w:pPr>
        <w:rPr>
          <w:lang w:val="en-GB"/>
        </w:rPr>
      </w:pPr>
    </w:p>
    <w:tbl>
      <w:tblPr>
        <w:tblW w:w="8640" w:type="dxa"/>
        <w:tblInd w:w="108" w:type="dxa"/>
        <w:tblLook w:val="04A0" w:firstRow="1" w:lastRow="0" w:firstColumn="1" w:lastColumn="0" w:noHBand="0" w:noVBand="1"/>
      </w:tblPr>
      <w:tblGrid>
        <w:gridCol w:w="2260"/>
        <w:gridCol w:w="2080"/>
        <w:gridCol w:w="3080"/>
        <w:gridCol w:w="1243"/>
      </w:tblGrid>
      <w:tr w:rsidR="001A1F87" w:rsidRPr="001A1F87" w14:paraId="0D1ADF62" w14:textId="77777777" w:rsidTr="001A1F87">
        <w:trPr>
          <w:trHeight w:val="290"/>
        </w:trPr>
        <w:tc>
          <w:tcPr>
            <w:tcW w:w="2260" w:type="dxa"/>
            <w:tcBorders>
              <w:top w:val="nil"/>
              <w:left w:val="nil"/>
              <w:bottom w:val="nil"/>
              <w:right w:val="nil"/>
            </w:tcBorders>
            <w:noWrap/>
            <w:vAlign w:val="bottom"/>
            <w:hideMark/>
          </w:tcPr>
          <w:p w14:paraId="5A534B29"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Cleared Product ID</w:t>
            </w:r>
          </w:p>
        </w:tc>
        <w:tc>
          <w:tcPr>
            <w:tcW w:w="2080" w:type="dxa"/>
            <w:tcBorders>
              <w:top w:val="nil"/>
              <w:left w:val="nil"/>
              <w:bottom w:val="nil"/>
              <w:right w:val="nil"/>
            </w:tcBorders>
            <w:noWrap/>
            <w:vAlign w:val="bottom"/>
            <w:hideMark/>
          </w:tcPr>
          <w:p w14:paraId="48774A8C"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Is backtesting breach</w:t>
            </w:r>
          </w:p>
        </w:tc>
        <w:tc>
          <w:tcPr>
            <w:tcW w:w="3080" w:type="dxa"/>
            <w:tcBorders>
              <w:top w:val="nil"/>
              <w:left w:val="nil"/>
              <w:bottom w:val="nil"/>
              <w:right w:val="nil"/>
            </w:tcBorders>
            <w:noWrap/>
            <w:vAlign w:val="bottom"/>
            <w:hideMark/>
          </w:tcPr>
          <w:p w14:paraId="2373C7DC"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Exception amount and currency</w:t>
            </w:r>
          </w:p>
        </w:tc>
        <w:tc>
          <w:tcPr>
            <w:tcW w:w="1220" w:type="dxa"/>
            <w:tcBorders>
              <w:top w:val="nil"/>
              <w:left w:val="nil"/>
              <w:bottom w:val="nil"/>
              <w:right w:val="nil"/>
            </w:tcBorders>
            <w:noWrap/>
            <w:vAlign w:val="bottom"/>
            <w:hideMark/>
          </w:tcPr>
          <w:p w14:paraId="2BC70516"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Description</w:t>
            </w:r>
          </w:p>
        </w:tc>
      </w:tr>
      <w:tr w:rsidR="001A1F87" w:rsidRPr="001A1F87" w14:paraId="2155167B" w14:textId="77777777" w:rsidTr="001A1F87">
        <w:trPr>
          <w:trHeight w:val="290"/>
        </w:trPr>
        <w:tc>
          <w:tcPr>
            <w:tcW w:w="2260" w:type="dxa"/>
            <w:tcBorders>
              <w:top w:val="nil"/>
              <w:left w:val="nil"/>
              <w:bottom w:val="nil"/>
              <w:right w:val="nil"/>
            </w:tcBorders>
            <w:noWrap/>
            <w:vAlign w:val="bottom"/>
            <w:hideMark/>
          </w:tcPr>
          <w:p w14:paraId="5AF86387"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3M Brent Crude Future</w:t>
            </w:r>
          </w:p>
        </w:tc>
        <w:tc>
          <w:tcPr>
            <w:tcW w:w="2080" w:type="dxa"/>
            <w:tcBorders>
              <w:top w:val="nil"/>
              <w:left w:val="nil"/>
              <w:bottom w:val="nil"/>
              <w:right w:val="nil"/>
            </w:tcBorders>
            <w:noWrap/>
            <w:vAlign w:val="bottom"/>
            <w:hideMark/>
          </w:tcPr>
          <w:p w14:paraId="060F2357" w14:textId="77777777" w:rsidR="001A1F87" w:rsidRPr="001A1F87" w:rsidRDefault="001A1F87" w:rsidP="001A1F87">
            <w:pPr>
              <w:spacing w:before="0"/>
              <w:jc w:val="center"/>
              <w:rPr>
                <w:rFonts w:eastAsia="Times New Roman"/>
                <w:color w:val="000000"/>
                <w:sz w:val="22"/>
                <w:szCs w:val="22"/>
                <w:lang w:val="en-GB" w:eastAsia="en-GB"/>
              </w:rPr>
            </w:pPr>
            <w:r w:rsidRPr="001A1F87">
              <w:rPr>
                <w:rFonts w:eastAsia="Times New Roman"/>
                <w:color w:val="000000"/>
                <w:sz w:val="22"/>
                <w:szCs w:val="22"/>
                <w:lang w:val="en-GB" w:eastAsia="en-GB"/>
              </w:rPr>
              <w:t>FALSE</w:t>
            </w:r>
          </w:p>
        </w:tc>
        <w:tc>
          <w:tcPr>
            <w:tcW w:w="3080" w:type="dxa"/>
            <w:tcBorders>
              <w:top w:val="nil"/>
              <w:left w:val="nil"/>
              <w:bottom w:val="nil"/>
              <w:right w:val="nil"/>
            </w:tcBorders>
            <w:noWrap/>
            <w:vAlign w:val="bottom"/>
            <w:hideMark/>
          </w:tcPr>
          <w:p w14:paraId="0DCB664C" w14:textId="77777777" w:rsidR="001A1F87" w:rsidRPr="001A1F87" w:rsidRDefault="001A1F87" w:rsidP="001A1F87">
            <w:pPr>
              <w:spacing w:before="0"/>
              <w:jc w:val="center"/>
              <w:rPr>
                <w:rFonts w:eastAsia="Times New Roman"/>
                <w:color w:val="000000"/>
                <w:sz w:val="22"/>
                <w:szCs w:val="22"/>
                <w:lang w:val="en-GB" w:eastAsia="en-GB"/>
              </w:rPr>
            </w:pPr>
          </w:p>
        </w:tc>
        <w:tc>
          <w:tcPr>
            <w:tcW w:w="1220" w:type="dxa"/>
            <w:tcBorders>
              <w:top w:val="nil"/>
              <w:left w:val="nil"/>
              <w:bottom w:val="nil"/>
              <w:right w:val="nil"/>
            </w:tcBorders>
            <w:noWrap/>
            <w:vAlign w:val="bottom"/>
            <w:hideMark/>
          </w:tcPr>
          <w:p w14:paraId="4F203319"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1000 barrels</w:t>
            </w:r>
          </w:p>
        </w:tc>
      </w:tr>
      <w:tr w:rsidR="001A1F87" w:rsidRPr="001A1F87" w14:paraId="38AEEFBE" w14:textId="77777777" w:rsidTr="001A1F87">
        <w:trPr>
          <w:trHeight w:val="290"/>
        </w:trPr>
        <w:tc>
          <w:tcPr>
            <w:tcW w:w="2260" w:type="dxa"/>
            <w:tcBorders>
              <w:top w:val="nil"/>
              <w:left w:val="nil"/>
              <w:bottom w:val="nil"/>
              <w:right w:val="nil"/>
            </w:tcBorders>
            <w:noWrap/>
            <w:vAlign w:val="bottom"/>
            <w:hideMark/>
          </w:tcPr>
          <w:p w14:paraId="584C42B3"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3M Copper Option</w:t>
            </w:r>
          </w:p>
        </w:tc>
        <w:tc>
          <w:tcPr>
            <w:tcW w:w="2080" w:type="dxa"/>
            <w:tcBorders>
              <w:top w:val="nil"/>
              <w:left w:val="nil"/>
              <w:bottom w:val="nil"/>
              <w:right w:val="nil"/>
            </w:tcBorders>
            <w:noWrap/>
            <w:vAlign w:val="bottom"/>
            <w:hideMark/>
          </w:tcPr>
          <w:p w14:paraId="00A7BAF4" w14:textId="77777777" w:rsidR="001A1F87" w:rsidRPr="001A1F87" w:rsidRDefault="001A1F87" w:rsidP="001A1F87">
            <w:pPr>
              <w:spacing w:before="0"/>
              <w:jc w:val="center"/>
              <w:rPr>
                <w:rFonts w:eastAsia="Times New Roman"/>
                <w:color w:val="000000"/>
                <w:sz w:val="22"/>
                <w:szCs w:val="22"/>
                <w:lang w:val="en-GB" w:eastAsia="en-GB"/>
              </w:rPr>
            </w:pPr>
            <w:r w:rsidRPr="001A1F87">
              <w:rPr>
                <w:rFonts w:eastAsia="Times New Roman"/>
                <w:color w:val="000000"/>
                <w:sz w:val="22"/>
                <w:szCs w:val="22"/>
                <w:lang w:val="en-GB" w:eastAsia="en-GB"/>
              </w:rPr>
              <w:t>TRUE</w:t>
            </w:r>
          </w:p>
        </w:tc>
        <w:tc>
          <w:tcPr>
            <w:tcW w:w="3080" w:type="dxa"/>
            <w:tcBorders>
              <w:top w:val="nil"/>
              <w:left w:val="nil"/>
              <w:bottom w:val="nil"/>
              <w:right w:val="nil"/>
            </w:tcBorders>
            <w:noWrap/>
            <w:vAlign w:val="bottom"/>
            <w:hideMark/>
          </w:tcPr>
          <w:p w14:paraId="3DBBC1A9"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10000USD</w:t>
            </w:r>
          </w:p>
        </w:tc>
        <w:tc>
          <w:tcPr>
            <w:tcW w:w="1220" w:type="dxa"/>
            <w:tcBorders>
              <w:top w:val="nil"/>
              <w:left w:val="nil"/>
              <w:bottom w:val="nil"/>
              <w:right w:val="nil"/>
            </w:tcBorders>
            <w:noWrap/>
            <w:vAlign w:val="bottom"/>
            <w:hideMark/>
          </w:tcPr>
          <w:p w14:paraId="670151E0"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25 tonnes</w:t>
            </w:r>
          </w:p>
        </w:tc>
      </w:tr>
    </w:tbl>
    <w:p w14:paraId="3D68A657" w14:textId="77777777" w:rsidR="00C2087D" w:rsidRDefault="00C2087D" w:rsidP="00783891">
      <w:pPr>
        <w:rPr>
          <w:lang w:val="en-GB"/>
        </w:rPr>
      </w:pPr>
    </w:p>
    <w:p w14:paraId="6563D92E" w14:textId="42382761" w:rsidR="00C41DDB" w:rsidRPr="00E8579D" w:rsidRDefault="00C41DDB" w:rsidP="12CDED74">
      <w:pPr>
        <w:numPr>
          <w:ilvl w:val="0"/>
          <w:numId w:val="6"/>
        </w:numPr>
        <w:rPr>
          <w:b/>
          <w:bCs/>
          <w:color w:val="000000" w:themeColor="text1"/>
          <w:szCs w:val="24"/>
        </w:rPr>
      </w:pPr>
      <w:r w:rsidRPr="12CDED74">
        <w:rPr>
          <w:b/>
          <w:bCs/>
          <w:lang w:val="en-GB"/>
        </w:rPr>
        <w:t>SEG</w:t>
      </w:r>
      <w:r w:rsidR="005A1AA5" w:rsidRPr="12CDED74">
        <w:rPr>
          <w:b/>
          <w:bCs/>
          <w:lang w:val="en-GB"/>
        </w:rPr>
        <w:t>/TSG</w:t>
      </w:r>
      <w:r w:rsidRPr="12CDED74">
        <w:rPr>
          <w:b/>
          <w:bCs/>
          <w:lang w:val="en-GB"/>
        </w:rPr>
        <w:t xml:space="preserve"> recommendation:</w:t>
      </w:r>
    </w:p>
    <w:p w14:paraId="4304B918" w14:textId="1B35B863" w:rsidR="00C41DDB" w:rsidRPr="00E8579D" w:rsidRDefault="00C41DDB" w:rsidP="12CDED74">
      <w:pPr>
        <w:rPr>
          <w:b/>
          <w:bCs/>
          <w:color w:val="000000" w:themeColor="text1"/>
          <w:szCs w:val="24"/>
        </w:rPr>
      </w:pPr>
    </w:p>
    <w:p w14:paraId="62C59393" w14:textId="53DB554F" w:rsidR="00C41DDB" w:rsidRPr="00E8579D" w:rsidRDefault="71BD7466" w:rsidP="12CDED74">
      <w:pPr>
        <w:rPr>
          <w:color w:val="000000" w:themeColor="text1"/>
          <w:szCs w:val="24"/>
        </w:rPr>
      </w:pPr>
      <w:r w:rsidRPr="12CDED74">
        <w:rPr>
          <w:color w:val="000000" w:themeColor="text1"/>
          <w:szCs w:val="24"/>
          <w:lang w:val="en-GB"/>
        </w:rPr>
        <w:t xml:space="preserve">☒ Consider   </w:t>
      </w:r>
    </w:p>
    <w:p w14:paraId="4A1B5D31" w14:textId="0A24B60C" w:rsidR="00C41DDB" w:rsidRPr="00E8579D" w:rsidRDefault="71BD7466" w:rsidP="12CDED74">
      <w:pPr>
        <w:rPr>
          <w:color w:val="000000" w:themeColor="text1"/>
          <w:szCs w:val="24"/>
        </w:rPr>
      </w:pPr>
      <w:r w:rsidRPr="12CDED74">
        <w:rPr>
          <w:color w:val="000000" w:themeColor="text1"/>
          <w:szCs w:val="24"/>
          <w:lang w:val="en-GB"/>
        </w:rPr>
        <w:t>Timing:</w:t>
      </w:r>
    </w:p>
    <w:p w14:paraId="06031E28" w14:textId="5A8E21A5" w:rsidR="00C41DDB" w:rsidRPr="00E8579D" w:rsidRDefault="71BD7466" w:rsidP="12CDED74">
      <w:pPr>
        <w:rPr>
          <w:color w:val="000000" w:themeColor="text1"/>
          <w:szCs w:val="24"/>
        </w:rPr>
      </w:pPr>
      <w:r w:rsidRPr="12CDED74">
        <w:rPr>
          <w:color w:val="000000" w:themeColor="text1"/>
          <w:szCs w:val="24"/>
          <w:lang w:val="en-GB"/>
        </w:rPr>
        <w:t>☒ Next yearly cycle: 2026/2027</w:t>
      </w:r>
    </w:p>
    <w:p w14:paraId="2141EA4E" w14:textId="77CF726F" w:rsidR="00C41DDB" w:rsidRPr="00E8579D" w:rsidRDefault="71BD7466" w:rsidP="12CDED74">
      <w:pPr>
        <w:rPr>
          <w:color w:val="000000" w:themeColor="text1"/>
          <w:szCs w:val="24"/>
        </w:rPr>
      </w:pPr>
      <w:r w:rsidRPr="12CDED74">
        <w:rPr>
          <w:color w:val="000000" w:themeColor="text1"/>
          <w:szCs w:val="24"/>
          <w:lang w:val="en-GB"/>
        </w:rPr>
        <w:t>☐ At the occasion of the next maintenance of the messages</w:t>
      </w:r>
    </w:p>
    <w:p w14:paraId="32FD1857" w14:textId="13D9F0AE" w:rsidR="00C41DDB" w:rsidRPr="00E8579D" w:rsidRDefault="71BD7466" w:rsidP="12CDED74">
      <w:pPr>
        <w:rPr>
          <w:color w:val="000000" w:themeColor="text1"/>
          <w:szCs w:val="24"/>
        </w:rPr>
      </w:pPr>
      <w:r w:rsidRPr="12CDED74">
        <w:rPr>
          <w:color w:val="000000" w:themeColor="text1"/>
          <w:szCs w:val="24"/>
          <w:lang w:val="en-GB"/>
        </w:rPr>
        <w:t>☐ Urgent unscheduled</w:t>
      </w:r>
    </w:p>
    <w:p w14:paraId="1141DF2B" w14:textId="15566144" w:rsidR="00C41DDB" w:rsidRPr="00E8579D" w:rsidRDefault="71BD7466" w:rsidP="12CDED74">
      <w:pPr>
        <w:rPr>
          <w:color w:val="000000" w:themeColor="text1"/>
          <w:szCs w:val="24"/>
        </w:rPr>
      </w:pPr>
      <w:r w:rsidRPr="12CDED74">
        <w:rPr>
          <w:color w:val="000000" w:themeColor="text1"/>
          <w:szCs w:val="24"/>
          <w:lang w:val="en-GB"/>
        </w:rPr>
        <w:t>☐ Other timing:</w:t>
      </w:r>
    </w:p>
    <w:p w14:paraId="4D0130E4" w14:textId="2FB0C403" w:rsidR="00C41DDB" w:rsidRPr="00E8579D" w:rsidRDefault="00C41DDB" w:rsidP="12CDED74">
      <w:pPr>
        <w:pStyle w:val="ListParagraph"/>
        <w:ind w:left="360"/>
        <w:rPr>
          <w:color w:val="000000" w:themeColor="text1"/>
          <w:szCs w:val="24"/>
        </w:rPr>
      </w:pPr>
    </w:p>
    <w:p w14:paraId="2ACB21E0" w14:textId="40B3774B" w:rsidR="00C41DDB" w:rsidRPr="00E8579D" w:rsidRDefault="71BD7466" w:rsidP="12CDED74">
      <w:pPr>
        <w:rPr>
          <w:color w:val="000000" w:themeColor="text1"/>
          <w:szCs w:val="24"/>
        </w:rPr>
      </w:pPr>
      <w:r w:rsidRPr="12CDED74">
        <w:rPr>
          <w:color w:val="000000" w:themeColor="text1"/>
          <w:szCs w:val="24"/>
          <w:lang w:val="en-GB"/>
        </w:rPr>
        <w:t>☐ Reject</w:t>
      </w:r>
    </w:p>
    <w:p w14:paraId="3C48DF42" w14:textId="4E84C56D" w:rsidR="00C41DDB" w:rsidRPr="00E8579D" w:rsidRDefault="71BD7466" w:rsidP="12CDED74">
      <w:pPr>
        <w:rPr>
          <w:color w:val="000000" w:themeColor="text1"/>
          <w:szCs w:val="24"/>
        </w:rPr>
      </w:pPr>
      <w:r w:rsidRPr="12CDED74">
        <w:rPr>
          <w:color w:val="000000" w:themeColor="text1"/>
          <w:szCs w:val="24"/>
          <w:lang w:val="en-GB"/>
        </w:rPr>
        <w:t>Reason for rejection:</w:t>
      </w:r>
    </w:p>
    <w:p w14:paraId="4313746D" w14:textId="775356F1" w:rsidR="00C41DDB" w:rsidRPr="00E8579D" w:rsidRDefault="00C41DDB" w:rsidP="12CDED74">
      <w:pPr>
        <w:pStyle w:val="ListParagraph"/>
        <w:ind w:left="360"/>
        <w:rPr>
          <w:color w:val="000000" w:themeColor="text1"/>
          <w:szCs w:val="24"/>
        </w:rPr>
      </w:pPr>
    </w:p>
    <w:p w14:paraId="151459B7" w14:textId="65950EB0" w:rsidR="00C41DDB" w:rsidRPr="00E8579D" w:rsidRDefault="71BD7466" w:rsidP="12CDED74">
      <w:pPr>
        <w:rPr>
          <w:color w:val="000000" w:themeColor="text1"/>
          <w:szCs w:val="24"/>
          <w:lang w:val="en-GB"/>
        </w:rPr>
      </w:pPr>
      <w:r w:rsidRPr="12CDED74">
        <w:rPr>
          <w:color w:val="000000" w:themeColor="text1"/>
          <w:szCs w:val="24"/>
          <w:lang w:val="en-GB"/>
        </w:rPr>
        <w:t>Comments:</w:t>
      </w:r>
    </w:p>
    <w:sectPr w:rsidR="00C41DDB" w:rsidRPr="00E8579D"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2CE1" w14:textId="77777777" w:rsidR="00812616" w:rsidRDefault="00812616">
      <w:r>
        <w:separator/>
      </w:r>
    </w:p>
  </w:endnote>
  <w:endnote w:type="continuationSeparator" w:id="0">
    <w:p w14:paraId="5F03EBA6" w14:textId="77777777" w:rsidR="00812616" w:rsidRDefault="0081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EB934B5" w:rsidR="00567F13" w:rsidRDefault="00633B0A">
    <w:pPr>
      <w:pStyle w:val="Footer"/>
      <w:rPr>
        <w:rStyle w:val="PageNumber"/>
      </w:rPr>
    </w:pPr>
    <w:fldSimple w:instr="FILENAME   \* MERGEFORMAT">
      <w:r w:rsidR="00BF2752">
        <w:rPr>
          <w:noProof/>
        </w:rPr>
        <w:t>CR1608_BoE_BacktestingResult_CCPSupervisoryReporting_v2.docx</w:t>
      </w:r>
    </w:fldSimple>
    <w:r w:rsidR="00567F13">
      <w:tab/>
      <w:t xml:space="preserve">Produced by </w:t>
    </w:r>
    <w:r w:rsidR="008B5BD4">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A962" w14:textId="77777777" w:rsidR="00812616" w:rsidRDefault="00812616">
      <w:r>
        <w:separator/>
      </w:r>
    </w:p>
  </w:footnote>
  <w:footnote w:type="continuationSeparator" w:id="0">
    <w:p w14:paraId="3285602A" w14:textId="77777777" w:rsidR="00812616" w:rsidRDefault="0081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1AFFBC2" w:rsidR="00E74C04" w:rsidRPr="00801493" w:rsidRDefault="00801493">
    <w:pPr>
      <w:pStyle w:val="Header"/>
      <w:rPr>
        <w:lang w:val="fr-BE"/>
      </w:rPr>
    </w:pPr>
    <w:r>
      <w:rPr>
        <w:lang w:val="fr-BE"/>
      </w:rPr>
      <w:t xml:space="preserve">RA ID : </w:t>
    </w:r>
    <w:r w:rsidR="007F6A2A">
      <w:rPr>
        <w:lang w:val="fr-BE"/>
      </w:rPr>
      <w:t>CR1608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A1F87"/>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62924"/>
    <w:rsid w:val="002711E6"/>
    <w:rsid w:val="002904C8"/>
    <w:rsid w:val="002B0567"/>
    <w:rsid w:val="002C3AD0"/>
    <w:rsid w:val="002D549A"/>
    <w:rsid w:val="002E014D"/>
    <w:rsid w:val="002E27A9"/>
    <w:rsid w:val="003006F2"/>
    <w:rsid w:val="003014E7"/>
    <w:rsid w:val="00303E94"/>
    <w:rsid w:val="00304151"/>
    <w:rsid w:val="00316F04"/>
    <w:rsid w:val="00320A89"/>
    <w:rsid w:val="00321273"/>
    <w:rsid w:val="00324C6F"/>
    <w:rsid w:val="00332C14"/>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7335"/>
    <w:rsid w:val="006A02BC"/>
    <w:rsid w:val="006A7B96"/>
    <w:rsid w:val="006B20DC"/>
    <w:rsid w:val="006D4A37"/>
    <w:rsid w:val="006E2522"/>
    <w:rsid w:val="006E3DEC"/>
    <w:rsid w:val="00706604"/>
    <w:rsid w:val="007118C4"/>
    <w:rsid w:val="00717D02"/>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2A"/>
    <w:rsid w:val="007F6A8C"/>
    <w:rsid w:val="00801493"/>
    <w:rsid w:val="008050F5"/>
    <w:rsid w:val="0081068B"/>
    <w:rsid w:val="00811DCF"/>
    <w:rsid w:val="00812324"/>
    <w:rsid w:val="00812616"/>
    <w:rsid w:val="00814D4C"/>
    <w:rsid w:val="00814F34"/>
    <w:rsid w:val="00817F6F"/>
    <w:rsid w:val="008265E8"/>
    <w:rsid w:val="008270CD"/>
    <w:rsid w:val="008270DF"/>
    <w:rsid w:val="0084123C"/>
    <w:rsid w:val="008438AF"/>
    <w:rsid w:val="00843FE8"/>
    <w:rsid w:val="00854FA6"/>
    <w:rsid w:val="0085530C"/>
    <w:rsid w:val="00861A52"/>
    <w:rsid w:val="00861DA2"/>
    <w:rsid w:val="0086406A"/>
    <w:rsid w:val="008656A6"/>
    <w:rsid w:val="00865C2F"/>
    <w:rsid w:val="0086676E"/>
    <w:rsid w:val="00875210"/>
    <w:rsid w:val="008869D6"/>
    <w:rsid w:val="008A7F65"/>
    <w:rsid w:val="008B5BD4"/>
    <w:rsid w:val="008F5C90"/>
    <w:rsid w:val="00906C6A"/>
    <w:rsid w:val="00914273"/>
    <w:rsid w:val="00916A80"/>
    <w:rsid w:val="009279BF"/>
    <w:rsid w:val="00937D26"/>
    <w:rsid w:val="00951C86"/>
    <w:rsid w:val="00954EED"/>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485B"/>
    <w:rsid w:val="00B5520C"/>
    <w:rsid w:val="00B65C66"/>
    <w:rsid w:val="00B70B84"/>
    <w:rsid w:val="00B74C6C"/>
    <w:rsid w:val="00B8336E"/>
    <w:rsid w:val="00B865DB"/>
    <w:rsid w:val="00B921E0"/>
    <w:rsid w:val="00BA1600"/>
    <w:rsid w:val="00BA611B"/>
    <w:rsid w:val="00BB7F97"/>
    <w:rsid w:val="00BC4D68"/>
    <w:rsid w:val="00BD6786"/>
    <w:rsid w:val="00BF2752"/>
    <w:rsid w:val="00C06496"/>
    <w:rsid w:val="00C122AE"/>
    <w:rsid w:val="00C17665"/>
    <w:rsid w:val="00C2087D"/>
    <w:rsid w:val="00C32DF8"/>
    <w:rsid w:val="00C40729"/>
    <w:rsid w:val="00C41DDB"/>
    <w:rsid w:val="00C46C5A"/>
    <w:rsid w:val="00C52ABE"/>
    <w:rsid w:val="00C60325"/>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27AC6"/>
    <w:rsid w:val="00D51B61"/>
    <w:rsid w:val="00D56571"/>
    <w:rsid w:val="00D65E88"/>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0AAE"/>
    <w:rsid w:val="00E11D29"/>
    <w:rsid w:val="00E1588B"/>
    <w:rsid w:val="00E256FC"/>
    <w:rsid w:val="00E3221E"/>
    <w:rsid w:val="00E37E77"/>
    <w:rsid w:val="00E5111B"/>
    <w:rsid w:val="00E67D1B"/>
    <w:rsid w:val="00E74C04"/>
    <w:rsid w:val="00E7512C"/>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19F0"/>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 w:val="12CDED74"/>
    <w:rsid w:val="71BD7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12CDE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catalogue_of_messages.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MSKTH6SNCJSU-234293521-54083</_dlc_DocId>
    <_dlc_DocIdUrl xmlns="806285ac-449a-4fb1-8311-58d88e150cc7">
      <Url>https://swiftcorp.sharepoint.com/sites/ps-ow-standards team/_layouts/15/DocIdRedir.aspx?ID=MSKTH6SNCJSU-234293521-54083</Url>
      <Description>MSKTH6SNCJSU-234293521-54083</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4.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5.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4065</Characters>
  <Application>Microsoft Office Word</Application>
  <DocSecurity>0</DocSecurity>
  <Lines>33</Lines>
  <Paragraphs>9</Paragraphs>
  <ScaleCrop>false</ScaleCrop>
  <Company>S.W.I.F.T. sc</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2026-06-02T12:18:00Z</dcterms:created>
  <dcterms:modified xsi:type="dcterms:W3CDTF">2026-07-06T16:33:00Z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7a89067c-6677-407f-968c-5c3ebdae7b66</vt:lpwstr>
  </property>
  <property fmtid="{D5CDD505-2E9C-101B-9397-08002B2CF9AE}" pid="11" name="MediaServiceImageTags">
    <vt:lpwstr/>
  </property>
</Properties>
</file>