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1A9E36DE" w:rsidR="00577BCC" w:rsidRDefault="009825C8" w:rsidP="00865C2F">
      <w:pPr>
        <w:rPr>
          <w:i/>
          <w:szCs w:val="24"/>
          <w:lang w:val="en-GB"/>
        </w:rPr>
      </w:pPr>
      <w:r>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5F2AF92" w:rsidR="000408BA" w:rsidRDefault="008438AF" w:rsidP="008438AF">
      <w:pPr>
        <w:rPr>
          <w:szCs w:val="24"/>
          <w:lang w:val="en-GB"/>
        </w:rPr>
      </w:pPr>
      <w:r w:rsidRPr="008438AF">
        <w:rPr>
          <w:i/>
          <w:szCs w:val="24"/>
          <w:lang w:val="en-GB"/>
        </w:rPr>
        <w:t>A.1 Submitter</w:t>
      </w:r>
      <w:r>
        <w:rPr>
          <w:szCs w:val="24"/>
          <w:lang w:val="en-GB"/>
        </w:rPr>
        <w:t xml:space="preserve">: </w:t>
      </w:r>
      <w:r w:rsidR="00B873E9">
        <w:rPr>
          <w:szCs w:val="24"/>
          <w:lang w:val="en-GB"/>
        </w:rPr>
        <w:t>nexo A.I.S.B.L.</w:t>
      </w:r>
    </w:p>
    <w:p w14:paraId="3872C480" w14:textId="08E465CD"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05A0BE6" w14:textId="77777777" w:rsidR="000065F6" w:rsidRPr="00981D56" w:rsidRDefault="000065F6" w:rsidP="000065F6">
      <w:pPr>
        <w:numPr>
          <w:ilvl w:val="0"/>
          <w:numId w:val="17"/>
        </w:numPr>
        <w:suppressAutoHyphens/>
        <w:rPr>
          <w:lang w:val="en-CA"/>
        </w:rPr>
      </w:pPr>
      <w:r w:rsidRPr="00981D56">
        <w:rPr>
          <w:szCs w:val="24"/>
          <w:lang w:val="en-CA"/>
        </w:rPr>
        <w:t>Ca</w:t>
      </w:r>
      <w:r>
        <w:rPr>
          <w:szCs w:val="24"/>
          <w:lang w:val="en-CA"/>
        </w:rPr>
        <w:t>therine BOUNDJIA</w:t>
      </w:r>
      <w:r w:rsidRPr="00981D56">
        <w:rPr>
          <w:szCs w:val="24"/>
          <w:lang w:val="en-CA"/>
        </w:rPr>
        <w:t xml:space="preserve"> (</w:t>
      </w:r>
      <w:hyperlink r:id="rId12" w:history="1">
        <w:r w:rsidRPr="00922395">
          <w:rPr>
            <w:rStyle w:val="Hyperlink"/>
            <w:szCs w:val="24"/>
            <w:lang w:val="en-CA"/>
          </w:rPr>
          <w:t>catherine.boundjia@nexo-standards.org</w:t>
        </w:r>
      </w:hyperlink>
      <w:r w:rsidRPr="00981D56">
        <w:rPr>
          <w:szCs w:val="24"/>
          <w:lang w:val="en-CA"/>
        </w:rPr>
        <w:t>)</w:t>
      </w:r>
    </w:p>
    <w:p w14:paraId="63B445CE" w14:textId="734DD053" w:rsidR="000065F6" w:rsidRDefault="000065F6" w:rsidP="000065F6">
      <w:pPr>
        <w:numPr>
          <w:ilvl w:val="0"/>
          <w:numId w:val="17"/>
        </w:numPr>
        <w:rPr>
          <w:szCs w:val="24"/>
          <w:lang w:val="en-GB"/>
        </w:rPr>
      </w:pPr>
      <w:r>
        <w:rPr>
          <w:szCs w:val="24"/>
          <w:lang w:val="en-CA"/>
        </w:rPr>
        <w:t xml:space="preserve">Rober FARGIER </w:t>
      </w:r>
      <w:r w:rsidR="002C0BE5">
        <w:rPr>
          <w:szCs w:val="24"/>
          <w:lang w:val="en-CA"/>
        </w:rPr>
        <w:t>(</w:t>
      </w:r>
      <w:hyperlink r:id="rId13" w:history="1">
        <w:r w:rsidR="002C0BE5" w:rsidRPr="002C0BE5">
          <w:rPr>
            <w:rStyle w:val="Hyperlink"/>
            <w:szCs w:val="24"/>
            <w:lang w:val="en-CA"/>
          </w:rPr>
          <w:t>robert.fargier@istium.pro</w:t>
        </w:r>
      </w:hyperlink>
      <w:r w:rsidR="002C0BE5">
        <w:rPr>
          <w:szCs w:val="24"/>
          <w:lang w:val="en-CA"/>
        </w:rPr>
        <w:t>)</w:t>
      </w:r>
    </w:p>
    <w:p w14:paraId="25E92BB5" w14:textId="4FCDD56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51AEC">
        <w:rPr>
          <w:szCs w:val="24"/>
          <w:lang w:val="en-GB"/>
        </w:rPr>
        <w:t>nexo A.I.S.B.L.</w:t>
      </w:r>
    </w:p>
    <w:p w14:paraId="3A2950A0" w14:textId="77777777" w:rsidR="005F15E8" w:rsidRDefault="005F15E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F5743C" w14:textId="239A93EF" w:rsidR="00120C19" w:rsidRDefault="00120C19" w:rsidP="00120C19">
      <w:pPr>
        <w:numPr>
          <w:ilvl w:val="0"/>
          <w:numId w:val="19"/>
        </w:numPr>
        <w:suppressAutoHyphens/>
      </w:pPr>
      <w:r>
        <w:rPr>
          <w:lang w:val="fr-CA"/>
        </w:rPr>
        <w:t>CreditorPaymentActivationRequestV1</w:t>
      </w:r>
      <w:r w:rsidR="00343AA8">
        <w:rPr>
          <w:lang w:val="fr-CA"/>
        </w:rPr>
        <w:t>2</w:t>
      </w:r>
      <w:r>
        <w:rPr>
          <w:lang w:val="en-GB"/>
        </w:rPr>
        <w:t xml:space="preserve"> (pain.013.001.1</w:t>
      </w:r>
      <w:r w:rsidR="00343AA8">
        <w:rPr>
          <w:lang w:val="en-GB"/>
        </w:rPr>
        <w:t>2</w:t>
      </w:r>
      <w:r>
        <w:rPr>
          <w:lang w:val="en-GB"/>
        </w:rPr>
        <w:t>)</w:t>
      </w:r>
    </w:p>
    <w:p w14:paraId="7278FCD5" w14:textId="0EE9B0FB" w:rsidR="00120C19" w:rsidRDefault="00120C19" w:rsidP="00120C19">
      <w:pPr>
        <w:numPr>
          <w:ilvl w:val="0"/>
          <w:numId w:val="19"/>
        </w:numPr>
        <w:suppressAutoHyphens/>
      </w:pPr>
      <w:r>
        <w:rPr>
          <w:lang w:val="fr-CA"/>
        </w:rPr>
        <w:t>CreditorPaymentActivationRequestStatusReportV1</w:t>
      </w:r>
      <w:r w:rsidR="00343AA8">
        <w:rPr>
          <w:lang w:val="fr-CA"/>
        </w:rPr>
        <w:t>2</w:t>
      </w:r>
      <w:r>
        <w:t xml:space="preserve"> (pain.014.001.1</w:t>
      </w:r>
      <w:r w:rsidR="00343AA8">
        <w:t>2</w:t>
      </w:r>
      <w:r>
        <w:t>)</w:t>
      </w:r>
    </w:p>
    <w:p w14:paraId="3E66D45C" w14:textId="26886BD2" w:rsidR="00854FA6" w:rsidRPr="00451986" w:rsidRDefault="00854FA6"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FD14897" w14:textId="43E76116" w:rsidR="0064521E" w:rsidRPr="0064521E" w:rsidRDefault="0064521E" w:rsidP="003613A4">
      <w:pPr>
        <w:rPr>
          <w:lang w:val="en-CA"/>
        </w:rPr>
      </w:pPr>
      <w:r w:rsidRPr="0064521E">
        <w:rPr>
          <w:lang w:val="en-CA"/>
        </w:rPr>
        <w:t xml:space="preserve">The change request aims to allow the </w:t>
      </w:r>
      <w:r w:rsidR="001C1631">
        <w:rPr>
          <w:lang w:val="en-CA"/>
        </w:rPr>
        <w:t>Creditor sending party</w:t>
      </w:r>
      <w:r w:rsidRPr="0064521E">
        <w:rPr>
          <w:lang w:val="en-CA"/>
        </w:rPr>
        <w:t xml:space="preserve"> </w:t>
      </w:r>
      <w:r w:rsidR="001036BC">
        <w:rPr>
          <w:lang w:val="en-CA"/>
        </w:rPr>
        <w:t>(Creditor</w:t>
      </w:r>
      <w:r w:rsidR="003D4118">
        <w:rPr>
          <w:lang w:val="en-CA"/>
        </w:rPr>
        <w:t xml:space="preserve"> or Payee</w:t>
      </w:r>
      <w:r w:rsidR="001036BC">
        <w:rPr>
          <w:lang w:val="en-CA"/>
        </w:rPr>
        <w:t xml:space="preserve">) </w:t>
      </w:r>
      <w:r w:rsidRPr="0064521E">
        <w:rPr>
          <w:lang w:val="en-CA"/>
        </w:rPr>
        <w:t>to provide </w:t>
      </w:r>
      <w:r w:rsidR="00253D72">
        <w:rPr>
          <w:lang w:val="en-CA"/>
        </w:rPr>
        <w:t>E</w:t>
      </w:r>
      <w:r w:rsidRPr="0064521E">
        <w:rPr>
          <w:lang w:val="en-CA"/>
        </w:rPr>
        <w:t xml:space="preserve">nvironment and </w:t>
      </w:r>
      <w:r w:rsidR="00253D72">
        <w:rPr>
          <w:lang w:val="en-CA"/>
        </w:rPr>
        <w:t>C</w:t>
      </w:r>
      <w:r w:rsidRPr="0064521E">
        <w:rPr>
          <w:lang w:val="en-CA"/>
        </w:rPr>
        <w:t xml:space="preserve">ontext information </w:t>
      </w:r>
      <w:r w:rsidR="00977C1E">
        <w:rPr>
          <w:lang w:val="en-CA"/>
        </w:rPr>
        <w:t>inside</w:t>
      </w:r>
      <w:r w:rsidRPr="0064521E">
        <w:rPr>
          <w:lang w:val="en-CA"/>
        </w:rPr>
        <w:t xml:space="preserve"> a payment initiation request </w:t>
      </w:r>
      <w:r w:rsidR="003D4118">
        <w:rPr>
          <w:lang w:val="en-CA"/>
        </w:rPr>
        <w:t>message</w:t>
      </w:r>
      <w:r w:rsidR="00CE2ADA">
        <w:rPr>
          <w:lang w:val="en-CA"/>
        </w:rPr>
        <w:t xml:space="preserve"> </w:t>
      </w:r>
      <w:r w:rsidR="003613A4" w:rsidRPr="003613A4">
        <w:rPr>
          <w:lang w:val="en-CA"/>
        </w:rPr>
        <w:t xml:space="preserve">used to request movement of funds from </w:t>
      </w:r>
      <w:r w:rsidR="00253D72">
        <w:rPr>
          <w:lang w:val="en-CA"/>
        </w:rPr>
        <w:t>a</w:t>
      </w:r>
      <w:r w:rsidR="003D4118">
        <w:rPr>
          <w:lang w:val="en-CA"/>
        </w:rPr>
        <w:t xml:space="preserve"> </w:t>
      </w:r>
      <w:r w:rsidR="003613A4" w:rsidRPr="003613A4">
        <w:rPr>
          <w:lang w:val="en-CA"/>
        </w:rPr>
        <w:t xml:space="preserve">debtor account to </w:t>
      </w:r>
      <w:r w:rsidR="00253D72">
        <w:rPr>
          <w:lang w:val="en-CA"/>
        </w:rPr>
        <w:t>the</w:t>
      </w:r>
      <w:r w:rsidR="003613A4" w:rsidRPr="003613A4">
        <w:rPr>
          <w:lang w:val="en-CA"/>
        </w:rPr>
        <w:t xml:space="preserve"> creditor</w:t>
      </w:r>
      <w:r w:rsidR="00253D72">
        <w:rPr>
          <w:lang w:val="en-CA"/>
        </w:rPr>
        <w:t xml:space="preserve"> account</w:t>
      </w:r>
      <w:r w:rsidR="003613A4" w:rsidRPr="003613A4">
        <w:rPr>
          <w:lang w:val="en-CA"/>
        </w:rPr>
        <w:t>.</w:t>
      </w:r>
    </w:p>
    <w:p w14:paraId="7939DBFB" w14:textId="554E6F72" w:rsidR="000408BA" w:rsidRDefault="00F40AF6" w:rsidP="000408BA">
      <w:pPr>
        <w:rPr>
          <w:lang w:val="en-CA"/>
        </w:rPr>
      </w:pPr>
      <w:r>
        <w:rPr>
          <w:lang w:val="en-CA"/>
        </w:rPr>
        <w:t>U</w:t>
      </w:r>
      <w:r w:rsidRPr="007C46B9">
        <w:rPr>
          <w:lang w:val="en-CA"/>
        </w:rPr>
        <w:t xml:space="preserve">pdate </w:t>
      </w:r>
      <w:r>
        <w:rPr>
          <w:lang w:val="en-CA"/>
        </w:rPr>
        <w:t xml:space="preserve">to </w:t>
      </w:r>
      <w:r w:rsidRPr="007C46B9">
        <w:rPr>
          <w:lang w:val="en-CA"/>
        </w:rPr>
        <w:t xml:space="preserve">message </w:t>
      </w:r>
      <w:r w:rsidR="00D87409" w:rsidRPr="00D87409">
        <w:rPr>
          <w:i/>
          <w:iCs/>
          <w:lang w:val="fr-CA"/>
        </w:rPr>
        <w:t>CreditorPaymentActivationRequestV12</w:t>
      </w:r>
      <w:r w:rsidRPr="00606F93">
        <w:rPr>
          <w:lang w:val="en-CA"/>
        </w:rPr>
        <w:t>:</w:t>
      </w:r>
    </w:p>
    <w:p w14:paraId="24C95F20" w14:textId="2027649B" w:rsidR="00D01D5F" w:rsidRDefault="008116E6" w:rsidP="000408BA">
      <w:pPr>
        <w:rPr>
          <w:lang w:val="en-CA"/>
        </w:rPr>
      </w:pPr>
      <w:r>
        <w:rPr>
          <w:lang w:val="en-CA"/>
        </w:rPr>
        <w:pict w14:anchorId="1B2DB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262pt">
            <v:imagedata r:id="rId14" o:title="CreditorPaymentActivationRequestV12"/>
          </v:shape>
        </w:pict>
      </w:r>
    </w:p>
    <w:p w14:paraId="6AF04CED" w14:textId="77777777" w:rsidR="00810578" w:rsidRDefault="00810578" w:rsidP="00810578">
      <w:pPr>
        <w:rPr>
          <w:lang w:val="en-CA"/>
        </w:rPr>
      </w:pPr>
    </w:p>
    <w:p w14:paraId="31A77B50" w14:textId="3B84A665" w:rsidR="00810578" w:rsidRDefault="00810578" w:rsidP="00810578">
      <w:pPr>
        <w:rPr>
          <w:lang w:val="en-CA"/>
        </w:rPr>
      </w:pPr>
      <w:r>
        <w:rPr>
          <w:lang w:val="en-CA"/>
        </w:rPr>
        <w:lastRenderedPageBreak/>
        <w:t>U</w:t>
      </w:r>
      <w:r w:rsidRPr="007C46B9">
        <w:rPr>
          <w:lang w:val="en-CA"/>
        </w:rPr>
        <w:t xml:space="preserve">pdate </w:t>
      </w:r>
      <w:r>
        <w:rPr>
          <w:lang w:val="en-CA"/>
        </w:rPr>
        <w:t xml:space="preserve">to </w:t>
      </w:r>
      <w:r w:rsidRPr="007C46B9">
        <w:rPr>
          <w:lang w:val="en-CA"/>
        </w:rPr>
        <w:t xml:space="preserve">message </w:t>
      </w:r>
      <w:r w:rsidRPr="00D87409">
        <w:rPr>
          <w:i/>
          <w:iCs/>
          <w:lang w:val="fr-CA"/>
        </w:rPr>
        <w:t>CreditorPaymentActivationRequest</w:t>
      </w:r>
      <w:r>
        <w:rPr>
          <w:i/>
          <w:iCs/>
          <w:lang w:val="fr-CA"/>
        </w:rPr>
        <w:t>StatusReport</w:t>
      </w:r>
      <w:r w:rsidRPr="00D87409">
        <w:rPr>
          <w:i/>
          <w:iCs/>
          <w:lang w:val="fr-CA"/>
        </w:rPr>
        <w:t>V12</w:t>
      </w:r>
      <w:r w:rsidRPr="00606F93">
        <w:rPr>
          <w:lang w:val="en-CA"/>
        </w:rPr>
        <w:t>:</w:t>
      </w:r>
    </w:p>
    <w:p w14:paraId="54829BFF" w14:textId="22259F52" w:rsidR="00810578" w:rsidRPr="0064521E" w:rsidRDefault="008116E6" w:rsidP="000408BA">
      <w:pPr>
        <w:rPr>
          <w:szCs w:val="24"/>
          <w:lang w:val="en-CA"/>
        </w:rPr>
      </w:pPr>
      <w:r>
        <w:rPr>
          <w:szCs w:val="24"/>
          <w:lang w:val="en-CA"/>
        </w:rPr>
        <w:pict w14:anchorId="3FCAB64E">
          <v:shape id="_x0000_i1026" type="#_x0000_t75" style="width:447.5pt;height:262pt">
            <v:imagedata r:id="rId15" o:title="CreditorPaymentActivationRequestStatusReportV12"/>
          </v:shape>
        </w:pic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05792489" w14:textId="413B78B7" w:rsidR="002F2D4B" w:rsidRPr="002F2D4B" w:rsidRDefault="002F2D4B" w:rsidP="002F2D4B">
      <w:pPr>
        <w:jc w:val="both"/>
        <w:rPr>
          <w:lang w:val="en-CA"/>
        </w:rPr>
      </w:pPr>
      <w:r w:rsidRPr="002F2D4B">
        <w:rPr>
          <w:lang w:val="en-CA"/>
        </w:rPr>
        <w:t>nexo A.I.S.B.L. is the international organization dedicated to standardizing the exchange of payment acceptance data between merchants, acquirers, payment service providers, and other payment stakeholders. In 2025, nexo established the Instant Payment Acceptance Specification (IPAS) Technical Working Group, responsible for defining, developing, maintaining, and publishing specifications and guidelines to facilitate instant payment acceptance at the Point of Interaction (POI).</w:t>
      </w:r>
    </w:p>
    <w:p w14:paraId="137B4642" w14:textId="5B1946CC" w:rsidR="002F2D4B" w:rsidRPr="002F2D4B" w:rsidRDefault="002F2D4B" w:rsidP="002F2D4B">
      <w:pPr>
        <w:jc w:val="both"/>
        <w:rPr>
          <w:lang w:val="en-CA"/>
        </w:rPr>
      </w:pPr>
      <w:r w:rsidRPr="002F2D4B">
        <w:rPr>
          <w:lang w:val="en-CA"/>
        </w:rPr>
        <w:t xml:space="preserve">In this context, nexo </w:t>
      </w:r>
      <w:r w:rsidR="001D575B">
        <w:rPr>
          <w:lang w:val="en-CA"/>
        </w:rPr>
        <w:t xml:space="preserve">IPAS TWG </w:t>
      </w:r>
      <w:r w:rsidRPr="002F2D4B">
        <w:rPr>
          <w:lang w:val="en-CA"/>
        </w:rPr>
        <w:t xml:space="preserve">has identified the need to enable the Creditor sending party to embed Environment and Context information — including POI details — directly within the payment initiation request message. This information is intended </w:t>
      </w:r>
      <w:r w:rsidR="00657631">
        <w:rPr>
          <w:lang w:val="en-CA"/>
        </w:rPr>
        <w:t xml:space="preserve">to allow the Credit Agent </w:t>
      </w:r>
      <w:r w:rsidRPr="002F2D4B">
        <w:rPr>
          <w:lang w:val="en-CA"/>
        </w:rPr>
        <w:t>to identify the POI system that should be notified upon completion of the instant credit transfer, a capability that is essential in Consumer-to-Business (C2B) "instant payment at the POI" scenarios, where the payment outcome must be communicated back to the originating terminal or system in real time.</w:t>
      </w:r>
    </w:p>
    <w:p w14:paraId="7B430513" w14:textId="77777777" w:rsidR="002F2D4B" w:rsidRPr="002F2D4B" w:rsidRDefault="002F2D4B" w:rsidP="002F2D4B">
      <w:pPr>
        <w:jc w:val="both"/>
        <w:rPr>
          <w:lang w:val="en-CA"/>
        </w:rPr>
      </w:pPr>
      <w:r w:rsidRPr="002F2D4B">
        <w:rPr>
          <w:lang w:val="en-CA"/>
        </w:rPr>
        <w:t>By incorporating this information directly into the payment initiation request message, the end-to-end payment flow is streamlined, eliminating the need for separate notification mechanisms and improving the overall reliability and traceability of instant payment confirmations.</w:t>
      </w:r>
    </w:p>
    <w:p w14:paraId="441B425E" w14:textId="77777777" w:rsidR="005646DB" w:rsidRDefault="005646DB"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E8E9DEF" w:rsidR="00CB683A" w:rsidRPr="0085530C" w:rsidRDefault="002C0FF1" w:rsidP="00F34C66">
      <w:pPr>
        <w:rPr>
          <w:i/>
          <w:szCs w:val="24"/>
          <w:lang w:val="en-GB"/>
        </w:rPr>
      </w:pPr>
      <w:r>
        <w:rPr>
          <w:szCs w:val="24"/>
          <w:lang w:val="en-GB"/>
        </w:rPr>
        <w:t>Urgent.</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676321">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vAlign w:val="center"/>
          </w:tcPr>
          <w:p w14:paraId="3AC836EE" w14:textId="29EDE72B" w:rsidR="00C40729" w:rsidRPr="00AD7CD5" w:rsidRDefault="00676321" w:rsidP="00676321">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676321">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vAlign w:val="center"/>
          </w:tcPr>
          <w:p w14:paraId="2CB5DAEB" w14:textId="2ADC21D1" w:rsidR="00130EB9" w:rsidRPr="00AD7CD5" w:rsidRDefault="00676321" w:rsidP="00676321">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860E" w14:textId="77777777" w:rsidR="008116E6" w:rsidRDefault="008116E6">
      <w:r>
        <w:separator/>
      </w:r>
    </w:p>
  </w:endnote>
  <w:endnote w:type="continuationSeparator" w:id="0">
    <w:p w14:paraId="0720E5BD" w14:textId="77777777" w:rsidR="008116E6" w:rsidRDefault="0081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DE1B" w14:textId="77777777" w:rsidR="008A3297" w:rsidRDefault="008A3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87" w14:textId="21F8B7B8" w:rsidR="00567F13" w:rsidRDefault="002C0FF1">
    <w:pPr>
      <w:pStyle w:val="Footer"/>
      <w:rPr>
        <w:rStyle w:val="PageNumber"/>
      </w:rPr>
    </w:pPr>
    <w:fldSimple w:instr=" FILENAME   \* MERGEFORMAT ">
      <w:r>
        <w:rPr>
          <w:noProof/>
        </w:rPr>
        <w:t>CR</w:t>
      </w:r>
      <w:r w:rsidR="0048327A">
        <w:rPr>
          <w:noProof/>
        </w:rPr>
        <w:t>159</w:t>
      </w:r>
      <w:r w:rsidR="00866387">
        <w:rPr>
          <w:noProof/>
        </w:rPr>
        <w:t>6</w:t>
      </w:r>
      <w:r>
        <w:rPr>
          <w:noProof/>
        </w:rPr>
        <w:t>_nexo_ipas-Provision of Environment and Context Information in Instant Payment Initiation messages_v</w:t>
      </w:r>
      <w:r w:rsidR="00676321">
        <w:rPr>
          <w:noProof/>
        </w:rPr>
        <w:t>2</w:t>
      </w:r>
      <w:r>
        <w:rPr>
          <w:noProof/>
        </w:rPr>
        <w:t>.docx</w:t>
      </w:r>
    </w:fldSimple>
    <w:r w:rsidR="00567F13">
      <w:tab/>
      <w:t xml:space="preserve">Produced by </w:t>
    </w:r>
    <w:r>
      <w:t>nexo A.I.S.B.L.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AED2" w14:textId="77777777" w:rsidR="008A3297" w:rsidRDefault="008A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E3EB" w14:textId="77777777" w:rsidR="008116E6" w:rsidRDefault="008116E6">
      <w:r>
        <w:separator/>
      </w:r>
    </w:p>
  </w:footnote>
  <w:footnote w:type="continuationSeparator" w:id="0">
    <w:p w14:paraId="12955A9B" w14:textId="77777777" w:rsidR="008116E6" w:rsidRDefault="0081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B642" w14:textId="77777777" w:rsidR="008A3297" w:rsidRDefault="008A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AE03E8F" w:rsidR="00E74C04" w:rsidRPr="00801493" w:rsidRDefault="00801493">
    <w:pPr>
      <w:pStyle w:val="Header"/>
      <w:rPr>
        <w:lang w:val="fr-BE"/>
      </w:rPr>
    </w:pPr>
    <w:r>
      <w:rPr>
        <w:lang w:val="fr-BE"/>
      </w:rPr>
      <w:t xml:space="preserve">RA ID : </w:t>
    </w:r>
    <w:r w:rsidR="008A3297">
      <w:rPr>
        <w:lang w:val="fr-BE"/>
      </w:rPr>
      <w:t>CR</w:t>
    </w:r>
    <w:r w:rsidR="0048327A">
      <w:rPr>
        <w:lang w:val="fr-BE"/>
      </w:rPr>
      <w:t>159</w:t>
    </w:r>
    <w:r w:rsidR="00866387">
      <w:rPr>
        <w:lang w:val="fr-BE"/>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ECA3" w14:textId="77777777" w:rsidR="008A3297" w:rsidRDefault="008A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9515A"/>
    <w:multiLevelType w:val="hybridMultilevel"/>
    <w:tmpl w:val="7EF01D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C7280"/>
    <w:multiLevelType w:val="multilevel"/>
    <w:tmpl w:val="E99CCD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8"/>
  </w:num>
  <w:num w:numId="7" w16cid:durableId="728386006">
    <w:abstractNumId w:val="12"/>
  </w:num>
  <w:num w:numId="8" w16cid:durableId="1187863317">
    <w:abstractNumId w:val="9"/>
  </w:num>
  <w:num w:numId="9" w16cid:durableId="1549537704">
    <w:abstractNumId w:val="17"/>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3"/>
  </w:num>
  <w:num w:numId="17" w16cid:durableId="915936971">
    <w:abstractNumId w:val="10"/>
  </w:num>
  <w:num w:numId="18" w16cid:durableId="394276542">
    <w:abstractNumId w:val="14"/>
  </w:num>
  <w:num w:numId="19" w16cid:durableId="725184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065F6"/>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36BC"/>
    <w:rsid w:val="00105754"/>
    <w:rsid w:val="00120C19"/>
    <w:rsid w:val="0012701C"/>
    <w:rsid w:val="00130EB9"/>
    <w:rsid w:val="0014379C"/>
    <w:rsid w:val="00153ED1"/>
    <w:rsid w:val="00161040"/>
    <w:rsid w:val="00163DB3"/>
    <w:rsid w:val="001711D3"/>
    <w:rsid w:val="00181C63"/>
    <w:rsid w:val="00185453"/>
    <w:rsid w:val="00185E8E"/>
    <w:rsid w:val="00193AF2"/>
    <w:rsid w:val="00197358"/>
    <w:rsid w:val="001B1858"/>
    <w:rsid w:val="001C1631"/>
    <w:rsid w:val="001D0D1B"/>
    <w:rsid w:val="001D176B"/>
    <w:rsid w:val="001D20B3"/>
    <w:rsid w:val="001D575B"/>
    <w:rsid w:val="001E287E"/>
    <w:rsid w:val="001E2B1C"/>
    <w:rsid w:val="001E3BCF"/>
    <w:rsid w:val="00217122"/>
    <w:rsid w:val="00217AE9"/>
    <w:rsid w:val="00225AA9"/>
    <w:rsid w:val="00230574"/>
    <w:rsid w:val="00231CFF"/>
    <w:rsid w:val="00237234"/>
    <w:rsid w:val="002472D9"/>
    <w:rsid w:val="002509A2"/>
    <w:rsid w:val="0025138E"/>
    <w:rsid w:val="00251AEC"/>
    <w:rsid w:val="002521C9"/>
    <w:rsid w:val="00253D72"/>
    <w:rsid w:val="00263CB8"/>
    <w:rsid w:val="002711E6"/>
    <w:rsid w:val="00277BED"/>
    <w:rsid w:val="002904C8"/>
    <w:rsid w:val="002B0567"/>
    <w:rsid w:val="002C0BE5"/>
    <w:rsid w:val="002C0FF1"/>
    <w:rsid w:val="002D549A"/>
    <w:rsid w:val="002E014D"/>
    <w:rsid w:val="002E27A9"/>
    <w:rsid w:val="002F2D4B"/>
    <w:rsid w:val="003006F2"/>
    <w:rsid w:val="003014E7"/>
    <w:rsid w:val="00303E94"/>
    <w:rsid w:val="00304151"/>
    <w:rsid w:val="00313351"/>
    <w:rsid w:val="00316F04"/>
    <w:rsid w:val="00320A89"/>
    <w:rsid w:val="00321273"/>
    <w:rsid w:val="00324C6F"/>
    <w:rsid w:val="00332E8F"/>
    <w:rsid w:val="00336209"/>
    <w:rsid w:val="00336ED6"/>
    <w:rsid w:val="00343AA8"/>
    <w:rsid w:val="00360300"/>
    <w:rsid w:val="003613A4"/>
    <w:rsid w:val="00380928"/>
    <w:rsid w:val="00386B78"/>
    <w:rsid w:val="003A1EBF"/>
    <w:rsid w:val="003A3D7D"/>
    <w:rsid w:val="003B261A"/>
    <w:rsid w:val="003C0213"/>
    <w:rsid w:val="003C0267"/>
    <w:rsid w:val="003C0882"/>
    <w:rsid w:val="003C3840"/>
    <w:rsid w:val="003D4118"/>
    <w:rsid w:val="003D56E3"/>
    <w:rsid w:val="003E59BF"/>
    <w:rsid w:val="003E67E5"/>
    <w:rsid w:val="003F1C24"/>
    <w:rsid w:val="003F547E"/>
    <w:rsid w:val="003F57CE"/>
    <w:rsid w:val="003F6B05"/>
    <w:rsid w:val="00401998"/>
    <w:rsid w:val="00416990"/>
    <w:rsid w:val="00427966"/>
    <w:rsid w:val="0044313F"/>
    <w:rsid w:val="00445D10"/>
    <w:rsid w:val="00446B25"/>
    <w:rsid w:val="004475F9"/>
    <w:rsid w:val="0045022C"/>
    <w:rsid w:val="00451986"/>
    <w:rsid w:val="00462051"/>
    <w:rsid w:val="00465900"/>
    <w:rsid w:val="00473145"/>
    <w:rsid w:val="0048327A"/>
    <w:rsid w:val="004A02CE"/>
    <w:rsid w:val="004A168F"/>
    <w:rsid w:val="004A31AA"/>
    <w:rsid w:val="004B5A22"/>
    <w:rsid w:val="004C2A6B"/>
    <w:rsid w:val="004D0B29"/>
    <w:rsid w:val="004E1F21"/>
    <w:rsid w:val="004F0578"/>
    <w:rsid w:val="004F0934"/>
    <w:rsid w:val="004F61D5"/>
    <w:rsid w:val="0050171A"/>
    <w:rsid w:val="00520C9C"/>
    <w:rsid w:val="0052302E"/>
    <w:rsid w:val="00523EA7"/>
    <w:rsid w:val="005246BE"/>
    <w:rsid w:val="005411C7"/>
    <w:rsid w:val="00555709"/>
    <w:rsid w:val="00563FFF"/>
    <w:rsid w:val="005646DB"/>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15E8"/>
    <w:rsid w:val="005F2E6B"/>
    <w:rsid w:val="006043A9"/>
    <w:rsid w:val="00605139"/>
    <w:rsid w:val="00610B1B"/>
    <w:rsid w:val="00610F9A"/>
    <w:rsid w:val="00611EB1"/>
    <w:rsid w:val="006316E5"/>
    <w:rsid w:val="00631A43"/>
    <w:rsid w:val="0063312E"/>
    <w:rsid w:val="00633B0A"/>
    <w:rsid w:val="0064521E"/>
    <w:rsid w:val="00657631"/>
    <w:rsid w:val="006643DC"/>
    <w:rsid w:val="0067337F"/>
    <w:rsid w:val="00676321"/>
    <w:rsid w:val="006A02BC"/>
    <w:rsid w:val="006A7B96"/>
    <w:rsid w:val="006B20DC"/>
    <w:rsid w:val="006C04D3"/>
    <w:rsid w:val="006D4A37"/>
    <w:rsid w:val="006E2522"/>
    <w:rsid w:val="006E3DEC"/>
    <w:rsid w:val="00702242"/>
    <w:rsid w:val="00706604"/>
    <w:rsid w:val="007118C4"/>
    <w:rsid w:val="007212CD"/>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0E6"/>
    <w:rsid w:val="007D3EB0"/>
    <w:rsid w:val="007D69B5"/>
    <w:rsid w:val="007D6A9F"/>
    <w:rsid w:val="007E1D13"/>
    <w:rsid w:val="007E64D9"/>
    <w:rsid w:val="007F6A8C"/>
    <w:rsid w:val="00801493"/>
    <w:rsid w:val="008050F5"/>
    <w:rsid w:val="00810578"/>
    <w:rsid w:val="0081068B"/>
    <w:rsid w:val="008116E6"/>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387"/>
    <w:rsid w:val="0086676E"/>
    <w:rsid w:val="00875210"/>
    <w:rsid w:val="008869D6"/>
    <w:rsid w:val="008A3297"/>
    <w:rsid w:val="008A7F65"/>
    <w:rsid w:val="008D1AAD"/>
    <w:rsid w:val="008F13A3"/>
    <w:rsid w:val="008F5C90"/>
    <w:rsid w:val="00906C6A"/>
    <w:rsid w:val="00914273"/>
    <w:rsid w:val="00916A80"/>
    <w:rsid w:val="009279BF"/>
    <w:rsid w:val="0093745D"/>
    <w:rsid w:val="00937D26"/>
    <w:rsid w:val="00951C86"/>
    <w:rsid w:val="00956D7A"/>
    <w:rsid w:val="00965199"/>
    <w:rsid w:val="00966046"/>
    <w:rsid w:val="009770EE"/>
    <w:rsid w:val="00977C1E"/>
    <w:rsid w:val="009825C8"/>
    <w:rsid w:val="009C1445"/>
    <w:rsid w:val="009F2A63"/>
    <w:rsid w:val="00A10221"/>
    <w:rsid w:val="00A16FA2"/>
    <w:rsid w:val="00A21B8D"/>
    <w:rsid w:val="00A22F1A"/>
    <w:rsid w:val="00A25B84"/>
    <w:rsid w:val="00A31BF8"/>
    <w:rsid w:val="00A32450"/>
    <w:rsid w:val="00A36B86"/>
    <w:rsid w:val="00A46877"/>
    <w:rsid w:val="00A47C6F"/>
    <w:rsid w:val="00A5492F"/>
    <w:rsid w:val="00A60DC3"/>
    <w:rsid w:val="00A60E56"/>
    <w:rsid w:val="00A91F56"/>
    <w:rsid w:val="00AA5E76"/>
    <w:rsid w:val="00AB24B3"/>
    <w:rsid w:val="00AD42A7"/>
    <w:rsid w:val="00AD7CD5"/>
    <w:rsid w:val="00AE0A90"/>
    <w:rsid w:val="00AE4D14"/>
    <w:rsid w:val="00AE4FA0"/>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873E9"/>
    <w:rsid w:val="00B921E0"/>
    <w:rsid w:val="00BA0BAA"/>
    <w:rsid w:val="00BA1600"/>
    <w:rsid w:val="00BA611B"/>
    <w:rsid w:val="00BB7F97"/>
    <w:rsid w:val="00BC4D68"/>
    <w:rsid w:val="00BD6786"/>
    <w:rsid w:val="00BE3C17"/>
    <w:rsid w:val="00C06496"/>
    <w:rsid w:val="00C122AE"/>
    <w:rsid w:val="00C17665"/>
    <w:rsid w:val="00C32DF8"/>
    <w:rsid w:val="00C37CD1"/>
    <w:rsid w:val="00C40729"/>
    <w:rsid w:val="00C41DDB"/>
    <w:rsid w:val="00C46C5A"/>
    <w:rsid w:val="00C52ABE"/>
    <w:rsid w:val="00C572CD"/>
    <w:rsid w:val="00C656B1"/>
    <w:rsid w:val="00C7056E"/>
    <w:rsid w:val="00C7507B"/>
    <w:rsid w:val="00CB683A"/>
    <w:rsid w:val="00CB7C2C"/>
    <w:rsid w:val="00CC062F"/>
    <w:rsid w:val="00CC1768"/>
    <w:rsid w:val="00CC68E1"/>
    <w:rsid w:val="00CD0745"/>
    <w:rsid w:val="00CD363B"/>
    <w:rsid w:val="00CD3C90"/>
    <w:rsid w:val="00CD59B1"/>
    <w:rsid w:val="00CE2ADA"/>
    <w:rsid w:val="00CF02AD"/>
    <w:rsid w:val="00CF098A"/>
    <w:rsid w:val="00CF3041"/>
    <w:rsid w:val="00D01D5F"/>
    <w:rsid w:val="00D123C1"/>
    <w:rsid w:val="00D234FD"/>
    <w:rsid w:val="00D2600B"/>
    <w:rsid w:val="00D51B61"/>
    <w:rsid w:val="00D56571"/>
    <w:rsid w:val="00D67DE0"/>
    <w:rsid w:val="00D73E09"/>
    <w:rsid w:val="00D74F66"/>
    <w:rsid w:val="00D82FBD"/>
    <w:rsid w:val="00D87409"/>
    <w:rsid w:val="00D9338F"/>
    <w:rsid w:val="00D9582C"/>
    <w:rsid w:val="00DA043A"/>
    <w:rsid w:val="00DA116C"/>
    <w:rsid w:val="00DA22C9"/>
    <w:rsid w:val="00DB3A62"/>
    <w:rsid w:val="00DB419A"/>
    <w:rsid w:val="00DC195F"/>
    <w:rsid w:val="00DC3384"/>
    <w:rsid w:val="00DC68D5"/>
    <w:rsid w:val="00DD06E3"/>
    <w:rsid w:val="00DD37B4"/>
    <w:rsid w:val="00DD422D"/>
    <w:rsid w:val="00E0487B"/>
    <w:rsid w:val="00E11D29"/>
    <w:rsid w:val="00E1588B"/>
    <w:rsid w:val="00E16247"/>
    <w:rsid w:val="00E22C67"/>
    <w:rsid w:val="00E256FC"/>
    <w:rsid w:val="00E3221E"/>
    <w:rsid w:val="00E37E77"/>
    <w:rsid w:val="00E441D5"/>
    <w:rsid w:val="00E5111B"/>
    <w:rsid w:val="00E67D1B"/>
    <w:rsid w:val="00E74C04"/>
    <w:rsid w:val="00E7537D"/>
    <w:rsid w:val="00E76E67"/>
    <w:rsid w:val="00E80995"/>
    <w:rsid w:val="00E824C3"/>
    <w:rsid w:val="00E840B6"/>
    <w:rsid w:val="00E845AB"/>
    <w:rsid w:val="00E8579D"/>
    <w:rsid w:val="00E85B59"/>
    <w:rsid w:val="00E928F1"/>
    <w:rsid w:val="00EA0A58"/>
    <w:rsid w:val="00EA246B"/>
    <w:rsid w:val="00EA3454"/>
    <w:rsid w:val="00EB2786"/>
    <w:rsid w:val="00EB589C"/>
    <w:rsid w:val="00EB6791"/>
    <w:rsid w:val="00EC35A4"/>
    <w:rsid w:val="00EC4454"/>
    <w:rsid w:val="00ED12A8"/>
    <w:rsid w:val="00ED1FC8"/>
    <w:rsid w:val="00ED43BB"/>
    <w:rsid w:val="00EE43B0"/>
    <w:rsid w:val="00EF1E93"/>
    <w:rsid w:val="00EF3707"/>
    <w:rsid w:val="00EF3F75"/>
    <w:rsid w:val="00EF6661"/>
    <w:rsid w:val="00F25441"/>
    <w:rsid w:val="00F260BE"/>
    <w:rsid w:val="00F2703C"/>
    <w:rsid w:val="00F33643"/>
    <w:rsid w:val="00F34C66"/>
    <w:rsid w:val="00F3743B"/>
    <w:rsid w:val="00F40AF6"/>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0151"/>
    <w:rsid w:val="00FE6405"/>
    <w:rsid w:val="00FE69B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2C0BE5"/>
    <w:rPr>
      <w:color w:val="605E5C"/>
      <w:shd w:val="clear" w:color="auto" w:fill="E1DFDD"/>
    </w:rPr>
  </w:style>
  <w:style w:type="paragraph" w:styleId="NormalWeb">
    <w:name w:val="Normal (Web)"/>
    <w:basedOn w:val="Normal"/>
    <w:rsid w:val="0064521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obert.fargier@istium.pr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catherine.boundjia@nexo-standard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MSKTH6SNCJSU-234293521-54065</_dlc_DocId>
    <_dlc_DocIdUrl xmlns="806285ac-449a-4fb1-8311-58d88e150cc7">
      <Url>https://swiftcorp.sharepoint.com/sites/ps-ow-standards team/_layouts/15/DocIdRedir.aspx?ID=MSKTH6SNCJSU-234293521-54065</Url>
      <Description>MSKTH6SNCJSU-234293521-54065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2845</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3260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2026-07-09T11:23:00Z</dcterms:created>
  <dcterms:modified xsi:type="dcterms:W3CDTF">2026-07-09T11:23:00Z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e5fe2e69-bb8c-4119-85bf-4ee93be07aeb</vt:lpwstr>
  </property>
  <property fmtid="{D5CDD505-2E9C-101B-9397-08002B2CF9AE}" pid="11" name="MediaServiceImageTags">
    <vt:lpwstr/>
  </property>
</Properties>
</file>