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08FA" w14:textId="77777777" w:rsidR="009C1581" w:rsidRDefault="009C1581" w:rsidP="009C1581">
      <w:pPr>
        <w:rPr>
          <w:szCs w:val="24"/>
          <w:lang w:val="en-GB"/>
        </w:rPr>
      </w:pPr>
      <w:r w:rsidRPr="008438AF">
        <w:rPr>
          <w:i/>
          <w:szCs w:val="24"/>
          <w:lang w:val="en-GB"/>
        </w:rPr>
        <w:t>A.1 Submitter</w:t>
      </w:r>
      <w:r>
        <w:rPr>
          <w:szCs w:val="24"/>
          <w:lang w:val="en-GB"/>
        </w:rPr>
        <w:t>: CLS Bank International</w:t>
      </w:r>
    </w:p>
    <w:p w14:paraId="457120E8" w14:textId="77777777" w:rsidR="009C1581" w:rsidRDefault="009C1581" w:rsidP="009C1581">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Stuart Buckley. sbuckley@cls-services.com</w:t>
      </w:r>
    </w:p>
    <w:p w14:paraId="20084611" w14:textId="77777777" w:rsidR="009C1581" w:rsidRDefault="009C1581" w:rsidP="009C1581">
      <w:pPr>
        <w:rPr>
          <w:szCs w:val="24"/>
          <w:lang w:val="en-GB"/>
        </w:rPr>
      </w:pPr>
    </w:p>
    <w:p w14:paraId="7874AF39" w14:textId="77777777" w:rsidR="009C1581" w:rsidRDefault="009C1581" w:rsidP="009C1581">
      <w:pPr>
        <w:rPr>
          <w:b/>
          <w:lang w:val="en-GB"/>
        </w:rPr>
      </w:pPr>
      <w:r w:rsidRPr="008438AF">
        <w:rPr>
          <w:i/>
          <w:szCs w:val="24"/>
          <w:lang w:val="en-GB"/>
        </w:rPr>
        <w:t xml:space="preserve"> 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This change will be socialised with all CLS Member/Participant banks via an official Participant notice.  We adopt a policy at CLS of aligning our messages to the latest standards where there is a valid business case to do so.  No objections to this strategy have been received.</w:t>
      </w:r>
    </w:p>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5798F3CB"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523EA7">
        <w:rPr>
          <w:i/>
          <w:szCs w:val="24"/>
          <w:lang w:val="en-GB"/>
        </w:rPr>
        <w:t>) or</w:t>
      </w:r>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w:t>
      </w:r>
      <w:r w:rsidR="00E0487B">
        <w:rPr>
          <w:i/>
          <w:szCs w:val="24"/>
          <w:lang w:val="en-GB"/>
        </w:rPr>
        <w:t xml:space="preserve">submitted </w:t>
      </w:r>
      <w:r w:rsidR="00A31BF8">
        <w:rPr>
          <w:i/>
          <w:szCs w:val="24"/>
          <w:lang w:val="en-GB"/>
        </w:rPr>
        <w:t>using the electronic form her</w:t>
      </w:r>
      <w:r w:rsidR="00F9034F">
        <w:rPr>
          <w:i/>
          <w:szCs w:val="24"/>
          <w:lang w:val="en-GB"/>
        </w:rPr>
        <w:t>e</w:t>
      </w:r>
      <w:r w:rsidR="00A31BF8">
        <w:rPr>
          <w:i/>
          <w:szCs w:val="24"/>
          <w:lang w:val="en-GB"/>
        </w:rPr>
        <w:t xml:space="preserve">: </w:t>
      </w:r>
      <w:hyperlink r:id="rId13" w:history="1">
        <w:r w:rsidR="00DB3A62" w:rsidRPr="00F9034F">
          <w:rPr>
            <w:rStyle w:val="Hyperlink"/>
            <w:i/>
            <w:iCs/>
          </w:rPr>
          <w:t>Maintenance of ISO 20022 message definitions request | ISO20022</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093D2DC7" w14:textId="77777777" w:rsidR="009C1581" w:rsidRDefault="009C1581" w:rsidP="009C1581">
      <w:pPr>
        <w:ind w:left="360"/>
        <w:rPr>
          <w:szCs w:val="24"/>
          <w:lang w:val="en-GB"/>
        </w:rPr>
      </w:pPr>
      <w:r w:rsidRPr="008438AF">
        <w:rPr>
          <w:i/>
          <w:szCs w:val="24"/>
          <w:lang w:val="en-GB"/>
        </w:rPr>
        <w:t>A.1 Submitter</w:t>
      </w:r>
      <w:r>
        <w:rPr>
          <w:szCs w:val="24"/>
          <w:lang w:val="en-GB"/>
        </w:rPr>
        <w:t>: CLS Bank International</w:t>
      </w:r>
    </w:p>
    <w:p w14:paraId="4928AB64" w14:textId="2105A258" w:rsidR="009C1581" w:rsidRDefault="009C1581" w:rsidP="009C1581">
      <w:pPr>
        <w:ind w:left="360"/>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Stuart Buckley. sbuckley@cls-services.com</w:t>
      </w:r>
    </w:p>
    <w:p w14:paraId="3843FB76" w14:textId="24C47D3F" w:rsidR="009C1581" w:rsidRDefault="009C1581" w:rsidP="009C1581">
      <w:pPr>
        <w:ind w:left="360"/>
        <w:rPr>
          <w:b/>
          <w:lang w:val="en-GB"/>
        </w:rPr>
      </w:pPr>
      <w:r w:rsidRPr="008438AF">
        <w:rPr>
          <w:i/>
          <w:szCs w:val="24"/>
          <w:lang w:val="en-GB"/>
        </w:rPr>
        <w:t>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We adopt a policy at CLS of aligning our messages to the latest standards where there is a valid business case to do so.  No objections to this strategy have been received.</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4"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tbl>
      <w:tblPr>
        <w:tblW w:w="7938" w:type="dxa"/>
        <w:tblInd w:w="-10" w:type="dxa"/>
        <w:tblCellMar>
          <w:left w:w="0" w:type="dxa"/>
          <w:right w:w="0" w:type="dxa"/>
        </w:tblCellMar>
        <w:tblLook w:val="04A0" w:firstRow="1" w:lastRow="0" w:firstColumn="1" w:lastColumn="0" w:noHBand="0" w:noVBand="1"/>
      </w:tblPr>
      <w:tblGrid>
        <w:gridCol w:w="2216"/>
        <w:gridCol w:w="5722"/>
      </w:tblGrid>
      <w:tr w:rsidR="00887949" w14:paraId="5373FA45" w14:textId="77777777" w:rsidTr="000E4F07">
        <w:trPr>
          <w:trHeight w:val="300"/>
        </w:trPr>
        <w:tc>
          <w:tcPr>
            <w:tcW w:w="2216"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142D742F" w14:textId="77777777" w:rsidR="00887949" w:rsidRDefault="00887949" w:rsidP="00AB5935">
            <w:pPr>
              <w:rPr>
                <w:b/>
                <w:bCs/>
                <w:color w:val="000000"/>
              </w:rPr>
            </w:pPr>
            <w:r>
              <w:rPr>
                <w:b/>
                <w:bCs/>
                <w:color w:val="000000"/>
              </w:rPr>
              <w:t>Message</w:t>
            </w:r>
          </w:p>
        </w:tc>
        <w:tc>
          <w:tcPr>
            <w:tcW w:w="5722"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2ECEED57" w14:textId="77777777" w:rsidR="00887949" w:rsidRDefault="00887949" w:rsidP="00AB5935">
            <w:pPr>
              <w:rPr>
                <w:b/>
                <w:bCs/>
                <w:color w:val="000000"/>
              </w:rPr>
            </w:pPr>
            <w:r>
              <w:rPr>
                <w:b/>
                <w:bCs/>
                <w:color w:val="000000"/>
              </w:rPr>
              <w:t>Message Name</w:t>
            </w:r>
          </w:p>
        </w:tc>
      </w:tr>
      <w:tr w:rsidR="000E4F07" w14:paraId="04E5E33A" w14:textId="77777777" w:rsidTr="000E4F07">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B84345" w14:textId="3C22F611" w:rsidR="000E4F07" w:rsidRDefault="000E4F07" w:rsidP="00AB5935">
            <w:pPr>
              <w:rPr>
                <w:color w:val="000000"/>
              </w:rPr>
            </w:pPr>
            <w:r>
              <w:rPr>
                <w:color w:val="000000"/>
              </w:rPr>
              <w:t>fxtr.008.001.08.xsd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8F9740D" w14:textId="5C9A759D" w:rsidR="000E4F07" w:rsidRPr="000E4F07" w:rsidRDefault="000E4F07" w:rsidP="000E4F07">
            <w:pPr>
              <w:spacing w:before="0"/>
              <w:rPr>
                <w:rFonts w:eastAsia="Times New Roman"/>
                <w:szCs w:val="24"/>
              </w:rPr>
            </w:pPr>
            <w:r w:rsidRPr="00917DBE">
              <w:rPr>
                <w:rFonts w:eastAsia="Times New Roman"/>
                <w:szCs w:val="24"/>
              </w:rPr>
              <w:t>ForeignExchangeTradeStatusNotificationV0</w:t>
            </w:r>
            <w:r>
              <w:rPr>
                <w:rFonts w:eastAsia="Times New Roman"/>
                <w:szCs w:val="24"/>
              </w:rPr>
              <w:t>8</w:t>
            </w:r>
          </w:p>
        </w:tc>
      </w:tr>
      <w:tr w:rsidR="00887949" w14:paraId="1EFB23F3" w14:textId="77777777" w:rsidTr="000E4F07">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35516D7" w14:textId="3185B823" w:rsidR="00887949" w:rsidRDefault="00887949" w:rsidP="00AB5935">
            <w:pPr>
              <w:rPr>
                <w:color w:val="000000"/>
              </w:rPr>
            </w:pPr>
            <w:r>
              <w:rPr>
                <w:color w:val="000000"/>
              </w:rPr>
              <w:t>fxtr.014.001.06.xsd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59ED8E" w14:textId="044F6894" w:rsidR="00887949" w:rsidRDefault="00887949" w:rsidP="00AB5935">
            <w:pPr>
              <w:rPr>
                <w:color w:val="000000"/>
              </w:rPr>
            </w:pPr>
            <w:r>
              <w:rPr>
                <w:color w:val="000000"/>
              </w:rPr>
              <w:t>ForeignExchangeTradeInstructionV0</w:t>
            </w:r>
            <w:r w:rsidR="000E4F07">
              <w:rPr>
                <w:color w:val="000000"/>
              </w:rPr>
              <w:t>6</w:t>
            </w:r>
          </w:p>
        </w:tc>
      </w:tr>
      <w:tr w:rsidR="00887949" w14:paraId="1D238AE7" w14:textId="77777777" w:rsidTr="000E4F07">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39EE012" w14:textId="7FB35071" w:rsidR="00887949" w:rsidRDefault="00887949" w:rsidP="00AB5935">
            <w:pPr>
              <w:rPr>
                <w:color w:val="000000"/>
              </w:rPr>
            </w:pPr>
            <w:r>
              <w:rPr>
                <w:color w:val="000000"/>
              </w:rPr>
              <w:t>fxtr.015.001.06.xsd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106CE42" w14:textId="3C3D58BC" w:rsidR="00887949" w:rsidRDefault="00887949" w:rsidP="00AB5935">
            <w:pPr>
              <w:rPr>
                <w:color w:val="000000"/>
              </w:rPr>
            </w:pPr>
            <w:r>
              <w:rPr>
                <w:color w:val="000000"/>
              </w:rPr>
              <w:t>ForeignExchangeTradeInstructionAmendmentV0</w:t>
            </w:r>
            <w:r w:rsidR="000E4F07">
              <w:rPr>
                <w:color w:val="000000"/>
              </w:rPr>
              <w:t>6</w:t>
            </w:r>
          </w:p>
        </w:tc>
      </w:tr>
      <w:tr w:rsidR="00887949" w14:paraId="4C241EB4" w14:textId="77777777" w:rsidTr="000E4F07">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79479FC" w14:textId="39A3D0E2" w:rsidR="00887949" w:rsidRDefault="00887949" w:rsidP="00AB5935">
            <w:pPr>
              <w:rPr>
                <w:color w:val="000000"/>
              </w:rPr>
            </w:pPr>
            <w:r>
              <w:rPr>
                <w:color w:val="000000"/>
              </w:rPr>
              <w:t>fxtr.016.001.06.xsd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618AFFC" w14:textId="4B58F4E8" w:rsidR="00887949" w:rsidRDefault="00887949" w:rsidP="00AB5935">
            <w:pPr>
              <w:rPr>
                <w:color w:val="000000"/>
              </w:rPr>
            </w:pPr>
            <w:r>
              <w:rPr>
                <w:color w:val="000000"/>
              </w:rPr>
              <w:t>ForeignExchangeTradeInstructionCancellationV0</w:t>
            </w:r>
            <w:r w:rsidR="000E4F07">
              <w:rPr>
                <w:color w:val="000000"/>
              </w:rPr>
              <w:t>6</w:t>
            </w:r>
          </w:p>
        </w:tc>
      </w:tr>
      <w:tr w:rsidR="00887949" w14:paraId="13EE95AF" w14:textId="77777777" w:rsidTr="002071DD">
        <w:trPr>
          <w:trHeight w:val="300"/>
        </w:trPr>
        <w:tc>
          <w:tcPr>
            <w:tcW w:w="2216"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tcPr>
          <w:p w14:paraId="20BAB629" w14:textId="49C179E8" w:rsidR="00887949" w:rsidRDefault="00887949" w:rsidP="00AB5935">
            <w:pPr>
              <w:rPr>
                <w:color w:val="000000"/>
              </w:rPr>
            </w:pPr>
            <w:r>
              <w:rPr>
                <w:color w:val="000000"/>
              </w:rPr>
              <w:t>fxtr.017.001.06.xsd</w:t>
            </w:r>
          </w:p>
        </w:tc>
        <w:tc>
          <w:tcPr>
            <w:tcW w:w="5722" w:type="dxa"/>
            <w:tcBorders>
              <w:top w:val="nil"/>
              <w:left w:val="nil"/>
              <w:bottom w:val="single" w:sz="4" w:space="0" w:color="auto"/>
              <w:right w:val="single" w:sz="8" w:space="0" w:color="auto"/>
            </w:tcBorders>
            <w:noWrap/>
            <w:tcMar>
              <w:top w:w="0" w:type="dxa"/>
              <w:left w:w="108" w:type="dxa"/>
              <w:bottom w:w="0" w:type="dxa"/>
              <w:right w:w="108" w:type="dxa"/>
            </w:tcMar>
            <w:vAlign w:val="bottom"/>
          </w:tcPr>
          <w:p w14:paraId="35EB0369" w14:textId="6FC19A6E" w:rsidR="00887949" w:rsidRDefault="00887949" w:rsidP="00AB5935">
            <w:pPr>
              <w:rPr>
                <w:color w:val="000000"/>
              </w:rPr>
            </w:pPr>
            <w:r>
              <w:rPr>
                <w:color w:val="000000"/>
              </w:rPr>
              <w:t>ForeignExchangeTradeStatusAndDetailsNotificationV0</w:t>
            </w:r>
            <w:r w:rsidR="000E4F07">
              <w:rPr>
                <w:color w:val="000000"/>
              </w:rPr>
              <w:t>6</w:t>
            </w:r>
          </w:p>
        </w:tc>
      </w:tr>
      <w:tr w:rsidR="000E4F07" w14:paraId="29FF2BD6" w14:textId="77777777" w:rsidTr="002071DD">
        <w:trPr>
          <w:trHeight w:val="300"/>
        </w:trPr>
        <w:tc>
          <w:tcPr>
            <w:tcW w:w="221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1D6468B4" w14:textId="08432E7D" w:rsidR="000E4F07" w:rsidRDefault="000E4F07" w:rsidP="00AB5935">
            <w:pPr>
              <w:rPr>
                <w:color w:val="000000"/>
              </w:rPr>
            </w:pPr>
            <w:r>
              <w:rPr>
                <w:color w:val="000000"/>
              </w:rPr>
              <w:t>fxtr.030.001.06.xsd</w:t>
            </w:r>
          </w:p>
        </w:tc>
        <w:tc>
          <w:tcPr>
            <w:tcW w:w="572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30117D42" w14:textId="56BB8843" w:rsidR="000E4F07" w:rsidRPr="000E4F07" w:rsidRDefault="000E4F07" w:rsidP="000E4F07">
            <w:pPr>
              <w:spacing w:before="0"/>
              <w:rPr>
                <w:rFonts w:eastAsia="Times New Roman"/>
                <w:szCs w:val="24"/>
              </w:rPr>
            </w:pPr>
            <w:r w:rsidRPr="00E740C7">
              <w:rPr>
                <w:rFonts w:eastAsia="Times New Roman"/>
                <w:szCs w:val="24"/>
              </w:rPr>
              <w:t>ForeignExchangeTradeBulkStatusNotificationV0</w:t>
            </w:r>
            <w:r>
              <w:rPr>
                <w:rFonts w:eastAsia="Times New Roman"/>
                <w:szCs w:val="24"/>
              </w:rPr>
              <w:t>6</w:t>
            </w:r>
          </w:p>
        </w:tc>
      </w:tr>
    </w:tbl>
    <w:p w14:paraId="09EDAEAF" w14:textId="77777777" w:rsidR="00854FA6" w:rsidRDefault="006D4A37" w:rsidP="00854FA6">
      <w:pPr>
        <w:numPr>
          <w:ilvl w:val="0"/>
          <w:numId w:val="6"/>
        </w:numPr>
        <w:rPr>
          <w:lang w:val="en-GB"/>
        </w:rPr>
      </w:pPr>
      <w:r>
        <w:rPr>
          <w:b/>
          <w:lang w:val="en-GB"/>
        </w:rPr>
        <w:lastRenderedPageBreak/>
        <w:t>Description of the change request:</w:t>
      </w:r>
    </w:p>
    <w:p w14:paraId="4B293EEE" w14:textId="77777777" w:rsidR="002071DD" w:rsidRDefault="000E4F07" w:rsidP="000408BA">
      <w:pPr>
        <w:rPr>
          <w:lang w:val="en-GB"/>
        </w:rPr>
      </w:pPr>
      <w:r>
        <w:rPr>
          <w:lang w:val="en-GB"/>
        </w:rPr>
        <w:t xml:space="preserve">Update the above messages to </w:t>
      </w:r>
      <w:r w:rsidR="002071DD">
        <w:rPr>
          <w:lang w:val="en-GB"/>
        </w:rPr>
        <w:t>recognise</w:t>
      </w:r>
      <w:r>
        <w:rPr>
          <w:lang w:val="en-GB"/>
        </w:rPr>
        <w:t xml:space="preserve"> the ISDA FX Definitions changes 2026</w:t>
      </w:r>
      <w:r w:rsidR="002071DD">
        <w:rPr>
          <w:lang w:val="en-GB"/>
        </w:rPr>
        <w:t xml:space="preserve"> that will be applied to the MT 300 and MT 304</w:t>
      </w:r>
      <w:r>
        <w:rPr>
          <w:lang w:val="en-GB"/>
        </w:rPr>
        <w:t xml:space="preserve">. </w:t>
      </w:r>
    </w:p>
    <w:p w14:paraId="7939DBFB" w14:textId="4D302C03" w:rsidR="000408BA" w:rsidRDefault="002071DD" w:rsidP="000408BA">
      <w:pPr>
        <w:rPr>
          <w:lang w:val="en-GB"/>
        </w:rPr>
      </w:pPr>
      <w:r>
        <w:rPr>
          <w:lang w:val="en-GB"/>
        </w:rPr>
        <w:t>This will ensure that the</w:t>
      </w:r>
      <w:r w:rsidR="009D2EB8">
        <w:rPr>
          <w:lang w:val="en-GB"/>
        </w:rPr>
        <w:t xml:space="preserve"> CLS</w:t>
      </w:r>
      <w:r>
        <w:rPr>
          <w:lang w:val="en-GB"/>
        </w:rPr>
        <w:t xml:space="preserve"> FX MX messages are fully aligned to the MT messages and meet future market expectations regarding standards compatibility between the ISO 20022 message suite and the MT 3XX messages.</w:t>
      </w:r>
    </w:p>
    <w:p w14:paraId="57FBB647" w14:textId="77777777" w:rsidR="00413364" w:rsidRDefault="00413364" w:rsidP="000408BA">
      <w:pPr>
        <w:rPr>
          <w:lang w:val="en-GB"/>
        </w:rPr>
      </w:pPr>
    </w:p>
    <w:tbl>
      <w:tblPr>
        <w:tblStyle w:val="TableGrid"/>
        <w:tblW w:w="0" w:type="auto"/>
        <w:tblLook w:val="04A0" w:firstRow="1" w:lastRow="0" w:firstColumn="1" w:lastColumn="0" w:noHBand="0" w:noVBand="1"/>
      </w:tblPr>
      <w:tblGrid>
        <w:gridCol w:w="1152"/>
        <w:gridCol w:w="1320"/>
        <w:gridCol w:w="3527"/>
        <w:gridCol w:w="2969"/>
      </w:tblGrid>
      <w:tr w:rsidR="001D3CF7" w14:paraId="718E3810" w14:textId="77777777" w:rsidTr="00E949F3">
        <w:tc>
          <w:tcPr>
            <w:tcW w:w="1696" w:type="dxa"/>
          </w:tcPr>
          <w:p w14:paraId="563CEAD7" w14:textId="3F971A6A" w:rsidR="00413364" w:rsidRDefault="00413364" w:rsidP="000408BA">
            <w:pPr>
              <w:rPr>
                <w:szCs w:val="24"/>
                <w:lang w:val="en-GB"/>
              </w:rPr>
            </w:pPr>
            <w:r>
              <w:rPr>
                <w:szCs w:val="24"/>
                <w:lang w:val="en-GB"/>
              </w:rPr>
              <w:t xml:space="preserve">MT 300/304 </w:t>
            </w:r>
          </w:p>
        </w:tc>
        <w:tc>
          <w:tcPr>
            <w:tcW w:w="2788" w:type="dxa"/>
          </w:tcPr>
          <w:p w14:paraId="7A0A173D" w14:textId="5FA67AAE" w:rsidR="00413364" w:rsidRDefault="00413364" w:rsidP="000408BA">
            <w:pPr>
              <w:rPr>
                <w:szCs w:val="24"/>
                <w:lang w:val="en-GB"/>
              </w:rPr>
            </w:pPr>
            <w:r>
              <w:rPr>
                <w:szCs w:val="24"/>
                <w:lang w:val="en-GB"/>
              </w:rPr>
              <w:t>Change</w:t>
            </w:r>
          </w:p>
        </w:tc>
        <w:tc>
          <w:tcPr>
            <w:tcW w:w="2242" w:type="dxa"/>
          </w:tcPr>
          <w:p w14:paraId="702A76E5" w14:textId="795A3B5C" w:rsidR="00413364" w:rsidRDefault="00413364" w:rsidP="000408BA">
            <w:pPr>
              <w:rPr>
                <w:szCs w:val="24"/>
                <w:lang w:val="en-GB"/>
              </w:rPr>
            </w:pPr>
            <w:proofErr w:type="spellStart"/>
            <w:r>
              <w:rPr>
                <w:szCs w:val="24"/>
                <w:lang w:val="en-GB"/>
              </w:rPr>
              <w:t>Fxtr</w:t>
            </w:r>
            <w:proofErr w:type="spellEnd"/>
            <w:r>
              <w:rPr>
                <w:szCs w:val="24"/>
                <w:lang w:val="en-GB"/>
              </w:rPr>
              <w:t xml:space="preserve"> </w:t>
            </w:r>
            <w:r w:rsidR="00E949F3">
              <w:rPr>
                <w:szCs w:val="24"/>
                <w:lang w:val="en-GB"/>
              </w:rPr>
              <w:t>Field</w:t>
            </w:r>
          </w:p>
        </w:tc>
        <w:tc>
          <w:tcPr>
            <w:tcW w:w="2242" w:type="dxa"/>
          </w:tcPr>
          <w:p w14:paraId="28201339" w14:textId="11A3E4FA" w:rsidR="00413364" w:rsidRDefault="00413364" w:rsidP="000408BA">
            <w:pPr>
              <w:rPr>
                <w:szCs w:val="24"/>
                <w:lang w:val="en-GB"/>
              </w:rPr>
            </w:pPr>
            <w:r>
              <w:rPr>
                <w:szCs w:val="24"/>
                <w:lang w:val="en-GB"/>
              </w:rPr>
              <w:t>Change</w:t>
            </w:r>
          </w:p>
        </w:tc>
      </w:tr>
      <w:tr w:rsidR="001D3CF7" w14:paraId="4FBDCC3C" w14:textId="77777777" w:rsidTr="00E949F3">
        <w:tc>
          <w:tcPr>
            <w:tcW w:w="1696" w:type="dxa"/>
          </w:tcPr>
          <w:p w14:paraId="7809AD27" w14:textId="2C349E9D" w:rsidR="00413364" w:rsidRDefault="00E949F3" w:rsidP="000408BA">
            <w:pPr>
              <w:rPr>
                <w:szCs w:val="24"/>
                <w:lang w:val="en-GB"/>
              </w:rPr>
            </w:pPr>
            <w:r>
              <w:rPr>
                <w:szCs w:val="24"/>
                <w:lang w:val="en-GB"/>
              </w:rPr>
              <w:t>Field 17F</w:t>
            </w:r>
          </w:p>
        </w:tc>
        <w:tc>
          <w:tcPr>
            <w:tcW w:w="2788" w:type="dxa"/>
          </w:tcPr>
          <w:p w14:paraId="2644AE60" w14:textId="0EF9D7E6" w:rsidR="00413364" w:rsidRDefault="00E949F3" w:rsidP="000408BA">
            <w:pPr>
              <w:rPr>
                <w:szCs w:val="24"/>
                <w:lang w:val="en-GB"/>
              </w:rPr>
            </w:pPr>
            <w:r>
              <w:rPr>
                <w:szCs w:val="24"/>
              </w:rPr>
              <w:t>R</w:t>
            </w:r>
            <w:r w:rsidRPr="00E949F3">
              <w:rPr>
                <w:szCs w:val="24"/>
              </w:rPr>
              <w:t>ename field to “Non-Deliverable Settlement” from “Non-Deliverable Settlement Indicator”;</w:t>
            </w:r>
          </w:p>
        </w:tc>
        <w:tc>
          <w:tcPr>
            <w:tcW w:w="2242" w:type="dxa"/>
          </w:tcPr>
          <w:p w14:paraId="33E2606F" w14:textId="2B8A5676" w:rsidR="00413364" w:rsidRDefault="00554A3C" w:rsidP="000408BA">
            <w:pPr>
              <w:rPr>
                <w:szCs w:val="24"/>
                <w:lang w:val="en-GB"/>
              </w:rPr>
            </w:pPr>
            <w:proofErr w:type="spellStart"/>
            <w:proofErr w:type="gramStart"/>
            <w:r>
              <w:rPr>
                <w:szCs w:val="24"/>
                <w:lang w:val="en-GB"/>
              </w:rPr>
              <w:t>NonDeliverableForwardConditions</w:t>
            </w:r>
            <w:proofErr w:type="spellEnd"/>
            <w:r>
              <w:rPr>
                <w:szCs w:val="24"/>
                <w:lang w:val="en-GB"/>
              </w:rPr>
              <w:t xml:space="preserve"> ?</w:t>
            </w:r>
            <w:proofErr w:type="gramEnd"/>
          </w:p>
        </w:tc>
        <w:tc>
          <w:tcPr>
            <w:tcW w:w="2242" w:type="dxa"/>
          </w:tcPr>
          <w:p w14:paraId="0E9A47B6" w14:textId="0666EDE6" w:rsidR="00413364" w:rsidRDefault="00D12CFC" w:rsidP="000408BA">
            <w:pPr>
              <w:rPr>
                <w:szCs w:val="24"/>
                <w:lang w:val="en-GB"/>
              </w:rPr>
            </w:pPr>
            <w:r w:rsidRPr="000672DF">
              <w:rPr>
                <w:b/>
                <w:bCs/>
                <w:szCs w:val="24"/>
                <w:lang w:val="en-GB"/>
              </w:rPr>
              <w:t>No</w:t>
            </w:r>
            <w:r>
              <w:rPr>
                <w:szCs w:val="24"/>
                <w:lang w:val="en-GB"/>
              </w:rPr>
              <w:t xml:space="preserve"> – as this element doesn’t align 1:1 with 17F. MX has more sub elements than MT</w:t>
            </w:r>
          </w:p>
        </w:tc>
      </w:tr>
      <w:tr w:rsidR="001D3CF7" w14:paraId="1C793E2F" w14:textId="77777777" w:rsidTr="00E949F3">
        <w:tc>
          <w:tcPr>
            <w:tcW w:w="1696" w:type="dxa"/>
          </w:tcPr>
          <w:p w14:paraId="3F50FFB3" w14:textId="7E146960" w:rsidR="00413364" w:rsidRDefault="00E949F3" w:rsidP="000408BA">
            <w:pPr>
              <w:rPr>
                <w:szCs w:val="24"/>
                <w:lang w:val="en-GB"/>
              </w:rPr>
            </w:pPr>
            <w:r>
              <w:rPr>
                <w:szCs w:val="24"/>
                <w:lang w:val="en-GB"/>
              </w:rPr>
              <w:t>Field 14S</w:t>
            </w:r>
          </w:p>
        </w:tc>
        <w:tc>
          <w:tcPr>
            <w:tcW w:w="2788" w:type="dxa"/>
          </w:tcPr>
          <w:p w14:paraId="216E5111" w14:textId="52C21B45" w:rsidR="00413364" w:rsidRPr="00E949F3" w:rsidRDefault="00554A3C" w:rsidP="000408BA">
            <w:pPr>
              <w:rPr>
                <w:szCs w:val="24"/>
              </w:rPr>
            </w:pPr>
            <w:r>
              <w:rPr>
                <w:szCs w:val="24"/>
              </w:rPr>
              <w:t>R</w:t>
            </w:r>
            <w:r w:rsidR="00E949F3" w:rsidRPr="00E949F3">
              <w:rPr>
                <w:szCs w:val="24"/>
              </w:rPr>
              <w:t>ename field to “Settlement Rate Option and Specified Time” from “Settlement Rate Source”;</w:t>
            </w:r>
            <w:r w:rsidR="00E949F3" w:rsidRPr="00E949F3">
              <w:rPr>
                <w:szCs w:val="24"/>
              </w:rPr>
              <w:br/>
            </w:r>
          </w:p>
        </w:tc>
        <w:tc>
          <w:tcPr>
            <w:tcW w:w="2242" w:type="dxa"/>
          </w:tcPr>
          <w:p w14:paraId="792E9200" w14:textId="38CB22D0" w:rsidR="00413364" w:rsidRDefault="006F1186" w:rsidP="000408BA">
            <w:pPr>
              <w:rPr>
                <w:szCs w:val="24"/>
              </w:rPr>
            </w:pPr>
            <w:proofErr w:type="spellStart"/>
            <w:r w:rsidRPr="006F1186">
              <w:rPr>
                <w:szCs w:val="24"/>
              </w:rPr>
              <w:t>SettlementRateSource</w:t>
            </w:r>
            <w:proofErr w:type="spellEnd"/>
            <w:r w:rsidR="001B5F17">
              <w:rPr>
                <w:szCs w:val="24"/>
              </w:rPr>
              <w:t xml:space="preserve"> </w:t>
            </w:r>
          </w:p>
          <w:p w14:paraId="70C8E014" w14:textId="77777777" w:rsidR="001B5F17" w:rsidRDefault="001B5F17" w:rsidP="000408BA">
            <w:pPr>
              <w:rPr>
                <w:szCs w:val="24"/>
              </w:rPr>
            </w:pPr>
          </w:p>
          <w:p w14:paraId="48E946E6" w14:textId="77777777" w:rsidR="001B5F17" w:rsidRDefault="001B5F17" w:rsidP="000408BA">
            <w:pPr>
              <w:rPr>
                <w:szCs w:val="24"/>
              </w:rPr>
            </w:pPr>
          </w:p>
          <w:p w14:paraId="51CF2292" w14:textId="77777777" w:rsidR="001B5F17" w:rsidRDefault="001B5F17" w:rsidP="000408BA">
            <w:pPr>
              <w:rPr>
                <w:szCs w:val="24"/>
              </w:rPr>
            </w:pPr>
          </w:p>
          <w:p w14:paraId="41A2A2AB" w14:textId="620DBA78" w:rsidR="001B5F17" w:rsidRDefault="001B5F17" w:rsidP="000408BA">
            <w:pPr>
              <w:rPr>
                <w:szCs w:val="24"/>
              </w:rPr>
            </w:pPr>
            <w:r>
              <w:rPr>
                <w:szCs w:val="24"/>
              </w:rPr>
              <w:t>And Sub element:</w:t>
            </w:r>
          </w:p>
          <w:p w14:paraId="2028C741" w14:textId="1FD5EF61" w:rsidR="001B5F17" w:rsidRDefault="001B5F17" w:rsidP="000408BA">
            <w:pPr>
              <w:rPr>
                <w:szCs w:val="24"/>
                <w:lang w:val="en-GB"/>
              </w:rPr>
            </w:pPr>
            <w:r>
              <w:rPr>
                <w:szCs w:val="24"/>
                <w:lang w:val="en-GB"/>
              </w:rPr>
              <w:t>Time</w:t>
            </w:r>
          </w:p>
        </w:tc>
        <w:tc>
          <w:tcPr>
            <w:tcW w:w="2242" w:type="dxa"/>
          </w:tcPr>
          <w:p w14:paraId="71B3D4B4" w14:textId="77777777" w:rsidR="00413364" w:rsidRDefault="006F1186" w:rsidP="000408BA">
            <w:pPr>
              <w:rPr>
                <w:szCs w:val="24"/>
                <w:lang w:val="en-GB"/>
              </w:rPr>
            </w:pPr>
            <w:r w:rsidRPr="000672DF">
              <w:rPr>
                <w:b/>
                <w:bCs/>
                <w:szCs w:val="24"/>
                <w:lang w:val="en-GB"/>
              </w:rPr>
              <w:t>Yes</w:t>
            </w:r>
            <w:r w:rsidR="001D3CF7" w:rsidRPr="000672DF">
              <w:rPr>
                <w:b/>
                <w:bCs/>
                <w:szCs w:val="24"/>
                <w:lang w:val="en-GB"/>
              </w:rPr>
              <w:t xml:space="preserve"> </w:t>
            </w:r>
            <w:r w:rsidR="001D3CF7">
              <w:rPr>
                <w:szCs w:val="24"/>
                <w:lang w:val="en-GB"/>
              </w:rPr>
              <w:t xml:space="preserve">– Change to </w:t>
            </w:r>
            <w:proofErr w:type="spellStart"/>
            <w:r w:rsidR="001D3CF7">
              <w:rPr>
                <w:szCs w:val="24"/>
                <w:lang w:val="en-GB"/>
              </w:rPr>
              <w:t>SettlementRateOption</w:t>
            </w:r>
            <w:proofErr w:type="spellEnd"/>
          </w:p>
          <w:p w14:paraId="1C886B13" w14:textId="77777777" w:rsidR="001B5F17" w:rsidRDefault="001B5F17" w:rsidP="000408BA">
            <w:pPr>
              <w:rPr>
                <w:szCs w:val="24"/>
                <w:lang w:val="en-GB"/>
              </w:rPr>
            </w:pPr>
          </w:p>
          <w:p w14:paraId="5770C66E" w14:textId="26FA990C" w:rsidR="001B5F17" w:rsidRDefault="001B5F17" w:rsidP="000408BA">
            <w:pPr>
              <w:rPr>
                <w:szCs w:val="24"/>
                <w:lang w:val="en-GB"/>
              </w:rPr>
            </w:pPr>
            <w:r w:rsidRPr="001E70BF">
              <w:rPr>
                <w:b/>
                <w:bCs/>
                <w:szCs w:val="24"/>
                <w:lang w:val="en-GB"/>
              </w:rPr>
              <w:t>Yes</w:t>
            </w:r>
            <w:r>
              <w:rPr>
                <w:szCs w:val="24"/>
                <w:lang w:val="en-GB"/>
              </w:rPr>
              <w:t>- Change from “Time” to “</w:t>
            </w:r>
            <w:proofErr w:type="spellStart"/>
            <w:r>
              <w:rPr>
                <w:szCs w:val="24"/>
                <w:lang w:val="en-GB"/>
              </w:rPr>
              <w:t>SpecifiedTime</w:t>
            </w:r>
            <w:proofErr w:type="spellEnd"/>
            <w:r>
              <w:rPr>
                <w:szCs w:val="24"/>
                <w:lang w:val="en-GB"/>
              </w:rPr>
              <w:t>”</w:t>
            </w:r>
          </w:p>
        </w:tc>
      </w:tr>
      <w:tr w:rsidR="001D3CF7" w14:paraId="10578B18" w14:textId="77777777" w:rsidTr="00E949F3">
        <w:tc>
          <w:tcPr>
            <w:tcW w:w="1696" w:type="dxa"/>
          </w:tcPr>
          <w:p w14:paraId="72534AD7" w14:textId="241EC1CA" w:rsidR="00413364" w:rsidRDefault="00E949F3" w:rsidP="000408BA">
            <w:pPr>
              <w:rPr>
                <w:szCs w:val="24"/>
                <w:lang w:val="en-GB"/>
              </w:rPr>
            </w:pPr>
            <w:r>
              <w:rPr>
                <w:szCs w:val="24"/>
                <w:lang w:val="en-GB"/>
              </w:rPr>
              <w:t>Field 32B</w:t>
            </w:r>
          </w:p>
        </w:tc>
        <w:tc>
          <w:tcPr>
            <w:tcW w:w="2788" w:type="dxa"/>
          </w:tcPr>
          <w:p w14:paraId="006B1C09" w14:textId="5020C3D1" w:rsidR="00413364" w:rsidRDefault="00554A3C" w:rsidP="000408BA">
            <w:pPr>
              <w:rPr>
                <w:szCs w:val="24"/>
                <w:lang w:val="en-GB"/>
              </w:rPr>
            </w:pPr>
            <w:r>
              <w:rPr>
                <w:szCs w:val="24"/>
              </w:rPr>
              <w:t>R</w:t>
            </w:r>
            <w:r w:rsidR="00E949F3" w:rsidRPr="00E949F3">
              <w:rPr>
                <w:szCs w:val="24"/>
              </w:rPr>
              <w:t xml:space="preserve">ename field to “Amount and currency receivable by Party A” from “Currency, Amount” in “Amount </w:t>
            </w:r>
            <w:r w:rsidR="00E949F3" w:rsidRPr="00E949F3">
              <w:rPr>
                <w:szCs w:val="24"/>
              </w:rPr>
              <w:lastRenderedPageBreak/>
              <w:t>Bought” Subsequence (which is to be renamed “Amount Receivable”);</w:t>
            </w:r>
          </w:p>
        </w:tc>
        <w:tc>
          <w:tcPr>
            <w:tcW w:w="2242" w:type="dxa"/>
          </w:tcPr>
          <w:p w14:paraId="281F378C" w14:textId="62502FFC" w:rsidR="00413364" w:rsidRDefault="006F1186" w:rsidP="000408BA">
            <w:pPr>
              <w:rPr>
                <w:szCs w:val="24"/>
                <w:lang w:val="en-GB"/>
              </w:rPr>
            </w:pPr>
            <w:proofErr w:type="spellStart"/>
            <w:r>
              <w:rPr>
                <w:szCs w:val="24"/>
                <w:lang w:val="en-GB"/>
              </w:rPr>
              <w:lastRenderedPageBreak/>
              <w:t>TradingSideBuyAmount</w:t>
            </w:r>
            <w:proofErr w:type="spellEnd"/>
          </w:p>
        </w:tc>
        <w:tc>
          <w:tcPr>
            <w:tcW w:w="2242" w:type="dxa"/>
          </w:tcPr>
          <w:p w14:paraId="50A2CB21" w14:textId="0B8D88C7" w:rsidR="00413364" w:rsidRPr="000672DF" w:rsidRDefault="000672DF" w:rsidP="000408BA">
            <w:pPr>
              <w:rPr>
                <w:i/>
                <w:iCs/>
                <w:szCs w:val="24"/>
                <w:lang w:val="en-GB"/>
              </w:rPr>
            </w:pPr>
            <w:r w:rsidRPr="000672DF">
              <w:rPr>
                <w:i/>
                <w:iCs/>
                <w:szCs w:val="24"/>
                <w:lang w:val="en-GB"/>
              </w:rPr>
              <w:t>CLS propose</w:t>
            </w:r>
            <w:r w:rsidR="00FE3C64">
              <w:rPr>
                <w:i/>
                <w:iCs/>
                <w:szCs w:val="24"/>
                <w:lang w:val="en-GB"/>
              </w:rPr>
              <w:t>d</w:t>
            </w:r>
            <w:r w:rsidRPr="000672DF">
              <w:rPr>
                <w:i/>
                <w:iCs/>
                <w:szCs w:val="24"/>
                <w:lang w:val="en-GB"/>
              </w:rPr>
              <w:t xml:space="preserve"> no changes </w:t>
            </w:r>
            <w:r w:rsidR="00070CF5">
              <w:rPr>
                <w:i/>
                <w:iCs/>
                <w:szCs w:val="24"/>
                <w:lang w:val="en-GB"/>
              </w:rPr>
              <w:t xml:space="preserve">ISDA </w:t>
            </w:r>
            <w:r w:rsidR="00FE3C64">
              <w:rPr>
                <w:i/>
                <w:iCs/>
                <w:szCs w:val="24"/>
                <w:lang w:val="en-GB"/>
              </w:rPr>
              <w:t>confirmed</w:t>
            </w:r>
          </w:p>
        </w:tc>
      </w:tr>
      <w:tr w:rsidR="001D3CF7" w14:paraId="79298133" w14:textId="77777777" w:rsidTr="00E949F3">
        <w:tc>
          <w:tcPr>
            <w:tcW w:w="1696" w:type="dxa"/>
          </w:tcPr>
          <w:p w14:paraId="097FC847" w14:textId="3C4B63B6" w:rsidR="00413364" w:rsidRDefault="00E949F3" w:rsidP="000408BA">
            <w:pPr>
              <w:rPr>
                <w:szCs w:val="24"/>
                <w:lang w:val="en-GB"/>
              </w:rPr>
            </w:pPr>
            <w:r>
              <w:rPr>
                <w:szCs w:val="24"/>
                <w:lang w:val="en-GB"/>
              </w:rPr>
              <w:t>Field 33B</w:t>
            </w:r>
          </w:p>
        </w:tc>
        <w:tc>
          <w:tcPr>
            <w:tcW w:w="2788" w:type="dxa"/>
          </w:tcPr>
          <w:p w14:paraId="0632F3E2" w14:textId="234B8608" w:rsidR="00413364" w:rsidRDefault="00E949F3" w:rsidP="000408BA">
            <w:pPr>
              <w:rPr>
                <w:szCs w:val="24"/>
                <w:lang w:val="en-GB"/>
              </w:rPr>
            </w:pPr>
            <w:r w:rsidRPr="00E949F3">
              <w:rPr>
                <w:szCs w:val="24"/>
              </w:rPr>
              <w:t>rename field to “Amount and currency payable by Party A” from “Currency, Amount” in “Amount Sold” Subsequence (which is to be renamed “Amount Payable”).</w:t>
            </w:r>
          </w:p>
        </w:tc>
        <w:tc>
          <w:tcPr>
            <w:tcW w:w="2242" w:type="dxa"/>
          </w:tcPr>
          <w:p w14:paraId="6BC2DF65" w14:textId="6FB47C78" w:rsidR="00413364" w:rsidRDefault="006F1186" w:rsidP="000408BA">
            <w:pPr>
              <w:rPr>
                <w:szCs w:val="24"/>
                <w:lang w:val="en-GB"/>
              </w:rPr>
            </w:pPr>
            <w:proofErr w:type="spellStart"/>
            <w:r>
              <w:rPr>
                <w:szCs w:val="24"/>
                <w:lang w:val="en-GB"/>
              </w:rPr>
              <w:t>TradingSideSellAmount</w:t>
            </w:r>
            <w:proofErr w:type="spellEnd"/>
          </w:p>
        </w:tc>
        <w:tc>
          <w:tcPr>
            <w:tcW w:w="2242" w:type="dxa"/>
          </w:tcPr>
          <w:p w14:paraId="2E010BAC" w14:textId="5C565A77" w:rsidR="00413364" w:rsidRPr="000672DF" w:rsidRDefault="00070CF5" w:rsidP="000408BA">
            <w:pPr>
              <w:rPr>
                <w:i/>
                <w:iCs/>
                <w:szCs w:val="24"/>
                <w:lang w:val="en-GB"/>
              </w:rPr>
            </w:pPr>
            <w:r w:rsidRPr="000672DF">
              <w:rPr>
                <w:i/>
                <w:iCs/>
                <w:szCs w:val="24"/>
                <w:lang w:val="en-GB"/>
              </w:rPr>
              <w:t xml:space="preserve">CLS propose no changes </w:t>
            </w:r>
            <w:r>
              <w:rPr>
                <w:i/>
                <w:iCs/>
                <w:szCs w:val="24"/>
                <w:lang w:val="en-GB"/>
              </w:rPr>
              <w:t xml:space="preserve">ISDA </w:t>
            </w:r>
            <w:r w:rsidR="00FE3C64">
              <w:rPr>
                <w:i/>
                <w:iCs/>
                <w:szCs w:val="24"/>
                <w:lang w:val="en-GB"/>
              </w:rPr>
              <w:t>confirmed</w:t>
            </w:r>
          </w:p>
        </w:tc>
      </w:tr>
      <w:tr w:rsidR="001D3CF7" w14:paraId="46BA5875" w14:textId="77777777" w:rsidTr="00E949F3">
        <w:tc>
          <w:tcPr>
            <w:tcW w:w="1696" w:type="dxa"/>
          </w:tcPr>
          <w:p w14:paraId="484E78D0" w14:textId="6EFACDBF" w:rsidR="00413364" w:rsidRDefault="00E949F3" w:rsidP="000408BA">
            <w:pPr>
              <w:rPr>
                <w:szCs w:val="24"/>
                <w:lang w:val="en-GB"/>
              </w:rPr>
            </w:pPr>
            <w:r>
              <w:rPr>
                <w:szCs w:val="24"/>
                <w:lang w:val="en-GB"/>
              </w:rPr>
              <w:t>Field 26K</w:t>
            </w:r>
          </w:p>
        </w:tc>
        <w:tc>
          <w:tcPr>
            <w:tcW w:w="2788" w:type="dxa"/>
          </w:tcPr>
          <w:p w14:paraId="057DA400" w14:textId="4EB80C2D" w:rsidR="00413364" w:rsidRDefault="00E949F3" w:rsidP="000408BA">
            <w:pPr>
              <w:rPr>
                <w:szCs w:val="24"/>
                <w:lang w:val="en-GB"/>
              </w:rPr>
            </w:pPr>
            <w:r w:rsidRPr="00E949F3">
              <w:rPr>
                <w:szCs w:val="24"/>
              </w:rPr>
              <w:t xml:space="preserve">“Calculation Agent” keep the current elections “Party A”, “Party B”, “Joint”. Rename “ISDA” to a code for as per a generic Master Agreement, and add a code for “Joint with dispute resolution </w:t>
            </w:r>
            <w:r w:rsidRPr="00E949F3">
              <w:rPr>
                <w:szCs w:val="24"/>
              </w:rPr>
              <w:lastRenderedPageBreak/>
              <w:t>provisions”</w:t>
            </w:r>
          </w:p>
        </w:tc>
        <w:tc>
          <w:tcPr>
            <w:tcW w:w="2242" w:type="dxa"/>
          </w:tcPr>
          <w:p w14:paraId="40093EB6" w14:textId="70D7F8AD" w:rsidR="00413364" w:rsidRDefault="006F1186" w:rsidP="000408BA">
            <w:pPr>
              <w:rPr>
                <w:szCs w:val="24"/>
                <w:lang w:val="en-GB"/>
              </w:rPr>
            </w:pPr>
            <w:proofErr w:type="spellStart"/>
            <w:r>
              <w:rPr>
                <w:szCs w:val="24"/>
                <w:lang w:val="en-GB"/>
              </w:rPr>
              <w:lastRenderedPageBreak/>
              <w:t>CalculationAgent</w:t>
            </w:r>
            <w:proofErr w:type="spellEnd"/>
          </w:p>
        </w:tc>
        <w:tc>
          <w:tcPr>
            <w:tcW w:w="2242" w:type="dxa"/>
          </w:tcPr>
          <w:p w14:paraId="3DB79420" w14:textId="4AB9949D" w:rsidR="00413364" w:rsidRDefault="00FE3C64" w:rsidP="000408BA">
            <w:pPr>
              <w:rPr>
                <w:szCs w:val="24"/>
                <w:lang w:val="en-GB"/>
              </w:rPr>
            </w:pPr>
            <w:r>
              <w:rPr>
                <w:szCs w:val="24"/>
                <w:lang w:val="en-GB"/>
              </w:rPr>
              <w:t>The external code set (ExternalCalculationAgent1Code) will be updated by SWIFT / ISO 20022 RA.</w:t>
            </w:r>
          </w:p>
        </w:tc>
      </w:tr>
      <w:tr w:rsidR="001D3CF7" w14:paraId="6A78EAD8" w14:textId="77777777" w:rsidTr="00E949F3">
        <w:tc>
          <w:tcPr>
            <w:tcW w:w="1696" w:type="dxa"/>
          </w:tcPr>
          <w:p w14:paraId="39482897" w14:textId="6C7E71A9" w:rsidR="00E949F3" w:rsidRDefault="00E949F3" w:rsidP="000408BA">
            <w:pPr>
              <w:rPr>
                <w:szCs w:val="24"/>
                <w:lang w:val="en-GB"/>
              </w:rPr>
            </w:pPr>
            <w:r>
              <w:rPr>
                <w:szCs w:val="24"/>
                <w:lang w:val="en-GB"/>
              </w:rPr>
              <w:t>Field 14C</w:t>
            </w:r>
          </w:p>
        </w:tc>
        <w:tc>
          <w:tcPr>
            <w:tcW w:w="2788" w:type="dxa"/>
          </w:tcPr>
          <w:p w14:paraId="2049F19D" w14:textId="7C75E308" w:rsidR="00E949F3" w:rsidRDefault="00E949F3" w:rsidP="000408BA">
            <w:pPr>
              <w:rPr>
                <w:szCs w:val="24"/>
                <w:lang w:val="en-GB"/>
              </w:rPr>
            </w:pPr>
            <w:r>
              <w:rPr>
                <w:szCs w:val="24"/>
                <w:lang w:val="en-GB"/>
              </w:rPr>
              <w:t>Re</w:t>
            </w:r>
            <w:r w:rsidR="001D3CF7">
              <w:rPr>
                <w:szCs w:val="24"/>
                <w:lang w:val="en-GB"/>
              </w:rPr>
              <w:t xml:space="preserve">move - </w:t>
            </w:r>
            <w:r w:rsidR="001D3CF7" w:rsidRPr="001D3CF7">
              <w:rPr>
                <w:szCs w:val="24"/>
                <w:lang w:val="en-GB"/>
              </w:rPr>
              <w:t xml:space="preserve">“Year of Definitions”, should be removed because Swift’s MTs can only support one definitional booklet. As there are now two FX definitions booklets, keeping this field in the MT can lead to potential message breaks and confusion. Instead, included in this change request is to hard-wire in the Swift user’s rules that the 2026 FX Definitions are incorporated by reference into FX transactions that are confirmed </w:t>
            </w:r>
            <w:r w:rsidR="001D3CF7" w:rsidRPr="001D3CF7">
              <w:rPr>
                <w:szCs w:val="24"/>
                <w:lang w:val="en-GB"/>
              </w:rPr>
              <w:lastRenderedPageBreak/>
              <w:t>via this MT.</w:t>
            </w:r>
          </w:p>
        </w:tc>
        <w:tc>
          <w:tcPr>
            <w:tcW w:w="2242" w:type="dxa"/>
          </w:tcPr>
          <w:p w14:paraId="4FC6D5D2" w14:textId="2537AF33" w:rsidR="00E949F3" w:rsidRDefault="001D3CF7" w:rsidP="000408BA">
            <w:pPr>
              <w:rPr>
                <w:szCs w:val="24"/>
                <w:lang w:val="en-GB"/>
              </w:rPr>
            </w:pPr>
            <w:r>
              <w:rPr>
                <w:szCs w:val="24"/>
                <w:lang w:val="en-GB"/>
              </w:rPr>
              <w:lastRenderedPageBreak/>
              <w:t>Definitions year</w:t>
            </w:r>
          </w:p>
        </w:tc>
        <w:tc>
          <w:tcPr>
            <w:tcW w:w="2242" w:type="dxa"/>
          </w:tcPr>
          <w:p w14:paraId="1A05C590" w14:textId="111EDDFF" w:rsidR="00E949F3" w:rsidRPr="000672DF" w:rsidRDefault="001D3CF7" w:rsidP="000408BA">
            <w:pPr>
              <w:rPr>
                <w:b/>
                <w:bCs/>
                <w:szCs w:val="24"/>
                <w:lang w:val="en-GB"/>
              </w:rPr>
            </w:pPr>
            <w:r w:rsidRPr="000672DF">
              <w:rPr>
                <w:b/>
                <w:bCs/>
                <w:szCs w:val="24"/>
                <w:lang w:val="en-GB"/>
              </w:rPr>
              <w:t>Remove</w:t>
            </w:r>
          </w:p>
        </w:tc>
      </w:tr>
      <w:tr w:rsidR="001D3CF7" w14:paraId="15B4E5EC" w14:textId="77777777" w:rsidTr="00E949F3">
        <w:tc>
          <w:tcPr>
            <w:tcW w:w="1696" w:type="dxa"/>
          </w:tcPr>
          <w:p w14:paraId="34FAC363" w14:textId="7703695F" w:rsidR="00E949F3" w:rsidRDefault="00E949F3" w:rsidP="000408BA">
            <w:pPr>
              <w:rPr>
                <w:szCs w:val="24"/>
                <w:lang w:val="en-GB"/>
              </w:rPr>
            </w:pPr>
            <w:r>
              <w:rPr>
                <w:szCs w:val="24"/>
                <w:lang w:val="en-GB"/>
              </w:rPr>
              <w:t>Calendar Adjustment Event</w:t>
            </w:r>
          </w:p>
        </w:tc>
        <w:tc>
          <w:tcPr>
            <w:tcW w:w="2788" w:type="dxa"/>
          </w:tcPr>
          <w:p w14:paraId="132683F6" w14:textId="486BA588" w:rsidR="00E949F3" w:rsidRDefault="00554A3C" w:rsidP="000408BA">
            <w:pPr>
              <w:rPr>
                <w:szCs w:val="24"/>
                <w:lang w:val="en-GB"/>
              </w:rPr>
            </w:pPr>
            <w:r w:rsidRPr="00554A3C">
              <w:rPr>
                <w:szCs w:val="24"/>
                <w:lang w:val="en-GB"/>
              </w:rPr>
              <w:t>allows users to elect whether to adjust the terms of a deliverable and non-deliverable FX transaction following a market event that caused the term of the trade to increase. Three new elections possible for this field: 1. Price Adjustment, 2. Portfolio Correction Transaction, 3. Not Applicable. Only relevant to</w:t>
            </w:r>
          </w:p>
        </w:tc>
        <w:tc>
          <w:tcPr>
            <w:tcW w:w="2242" w:type="dxa"/>
          </w:tcPr>
          <w:p w14:paraId="47A1236C" w14:textId="3549A3D5" w:rsidR="00E949F3" w:rsidRDefault="000672DF" w:rsidP="000408BA">
            <w:pPr>
              <w:rPr>
                <w:szCs w:val="24"/>
                <w:lang w:val="en-GB"/>
              </w:rPr>
            </w:pPr>
            <w:proofErr w:type="spellStart"/>
            <w:r>
              <w:rPr>
                <w:szCs w:val="24"/>
                <w:lang w:val="en-GB"/>
              </w:rPr>
              <w:t>CalendarAdjustmentEvent</w:t>
            </w:r>
            <w:proofErr w:type="spellEnd"/>
          </w:p>
        </w:tc>
        <w:tc>
          <w:tcPr>
            <w:tcW w:w="2242" w:type="dxa"/>
          </w:tcPr>
          <w:p w14:paraId="0BD8C2C6" w14:textId="49C7CC20" w:rsidR="00E949F3" w:rsidRPr="000672DF" w:rsidRDefault="000672DF" w:rsidP="000408BA">
            <w:pPr>
              <w:rPr>
                <w:b/>
                <w:bCs/>
                <w:szCs w:val="24"/>
                <w:lang w:val="en-GB"/>
              </w:rPr>
            </w:pPr>
            <w:r w:rsidRPr="000672DF">
              <w:rPr>
                <w:b/>
                <w:bCs/>
                <w:szCs w:val="24"/>
                <w:lang w:val="en-GB"/>
              </w:rPr>
              <w:t>New field</w:t>
            </w:r>
          </w:p>
        </w:tc>
      </w:tr>
      <w:tr w:rsidR="001D3CF7" w14:paraId="1A5C9FDA" w14:textId="77777777" w:rsidTr="00E949F3">
        <w:tc>
          <w:tcPr>
            <w:tcW w:w="1696" w:type="dxa"/>
          </w:tcPr>
          <w:p w14:paraId="2CD73FAA" w14:textId="166E5CD8" w:rsidR="00E949F3" w:rsidRDefault="00E949F3" w:rsidP="000408BA">
            <w:pPr>
              <w:rPr>
                <w:szCs w:val="24"/>
                <w:lang w:val="en-GB"/>
              </w:rPr>
            </w:pPr>
            <w:r>
              <w:rPr>
                <w:szCs w:val="24"/>
                <w:lang w:val="en-GB"/>
              </w:rPr>
              <w:t>Specific Settlement or Conversion Event</w:t>
            </w:r>
          </w:p>
        </w:tc>
        <w:tc>
          <w:tcPr>
            <w:tcW w:w="2788" w:type="dxa"/>
          </w:tcPr>
          <w:p w14:paraId="594DFCE9" w14:textId="10398AA7" w:rsidR="000B445C" w:rsidRDefault="000B445C" w:rsidP="000B445C">
            <w:pPr>
              <w:rPr>
                <w:rFonts w:eastAsia="Times New Roman" w:cs="Arial"/>
                <w:sz w:val="22"/>
                <w:szCs w:val="22"/>
                <w:lang w:eastAsia="en-GB"/>
              </w:rPr>
            </w:pPr>
            <w:r>
              <w:rPr>
                <w:rFonts w:eastAsia="Times New Roman" w:cs="Arial"/>
                <w:sz w:val="22"/>
                <w:szCs w:val="22"/>
                <w:lang w:eastAsia="en-GB"/>
              </w:rPr>
              <w:t xml:space="preserve">Optional </w:t>
            </w:r>
            <w:r w:rsidRPr="0082531E">
              <w:rPr>
                <w:rFonts w:eastAsia="Times New Roman" w:cs="Arial"/>
                <w:sz w:val="22"/>
                <w:szCs w:val="22"/>
                <w:lang w:eastAsia="en-GB"/>
              </w:rPr>
              <w:t>field</w:t>
            </w:r>
            <w:r w:rsidRPr="00AE063E">
              <w:rPr>
                <w:rFonts w:eastAsia="Times New Roman" w:cs="Arial"/>
                <w:sz w:val="22"/>
                <w:szCs w:val="22"/>
                <w:lang w:eastAsia="en-GB"/>
              </w:rPr>
              <w:t xml:space="preserve"> for an additional disruption event that is specific to the counterparties as opposed to the market generally</w:t>
            </w:r>
            <w:r w:rsidRPr="0082531E">
              <w:rPr>
                <w:rFonts w:eastAsia="Times New Roman" w:cs="Arial"/>
                <w:sz w:val="22"/>
                <w:szCs w:val="22"/>
                <w:lang w:eastAsia="en-GB"/>
              </w:rPr>
              <w:t>,</w:t>
            </w:r>
            <w:r>
              <w:rPr>
                <w:rFonts w:eastAsia="Times New Roman" w:cs="Arial"/>
                <w:sz w:val="22"/>
                <w:szCs w:val="22"/>
                <w:lang w:eastAsia="en-GB"/>
              </w:rPr>
              <w:t xml:space="preserve"> elections are </w:t>
            </w:r>
            <w:r>
              <w:rPr>
                <w:rFonts w:eastAsia="Times New Roman" w:cs="Arial"/>
                <w:sz w:val="22"/>
                <w:szCs w:val="22"/>
                <w:lang w:eastAsia="en-GB"/>
              </w:rPr>
              <w:lastRenderedPageBreak/>
              <w:t xml:space="preserve">Applicable or Not Applicable, if not populated it will default </w:t>
            </w:r>
            <w:proofErr w:type="gramStart"/>
            <w:r>
              <w:rPr>
                <w:rFonts w:eastAsia="Times New Roman" w:cs="Arial"/>
                <w:sz w:val="22"/>
                <w:szCs w:val="22"/>
                <w:lang w:eastAsia="en-GB"/>
              </w:rPr>
              <w:t>to</w:t>
            </w:r>
            <w:proofErr w:type="gramEnd"/>
            <w:r>
              <w:rPr>
                <w:rFonts w:eastAsia="Times New Roman" w:cs="Arial"/>
                <w:sz w:val="22"/>
                <w:szCs w:val="22"/>
                <w:lang w:eastAsia="en-GB"/>
              </w:rPr>
              <w:t xml:space="preserve"> Not Applicable. Only relevant to deliverable transactions.</w:t>
            </w:r>
          </w:p>
          <w:p w14:paraId="58B21D32" w14:textId="77777777" w:rsidR="00E949F3" w:rsidRDefault="00E949F3" w:rsidP="000408BA">
            <w:pPr>
              <w:rPr>
                <w:szCs w:val="24"/>
                <w:lang w:val="en-GB"/>
              </w:rPr>
            </w:pPr>
          </w:p>
        </w:tc>
        <w:tc>
          <w:tcPr>
            <w:tcW w:w="2242" w:type="dxa"/>
          </w:tcPr>
          <w:p w14:paraId="4416E918" w14:textId="4992AA53" w:rsidR="00E949F3" w:rsidRDefault="000672DF" w:rsidP="000408BA">
            <w:pPr>
              <w:rPr>
                <w:szCs w:val="24"/>
                <w:lang w:val="en-GB"/>
              </w:rPr>
            </w:pPr>
            <w:r>
              <w:rPr>
                <w:szCs w:val="24"/>
                <w:lang w:val="en-GB"/>
              </w:rPr>
              <w:lastRenderedPageBreak/>
              <w:t>SpecificSettlementorConversionEvent</w:t>
            </w:r>
          </w:p>
        </w:tc>
        <w:tc>
          <w:tcPr>
            <w:tcW w:w="2242" w:type="dxa"/>
          </w:tcPr>
          <w:p w14:paraId="3DF92712" w14:textId="3568BD6B" w:rsidR="00E949F3" w:rsidRPr="000672DF" w:rsidRDefault="000672DF" w:rsidP="000408BA">
            <w:pPr>
              <w:rPr>
                <w:b/>
                <w:bCs/>
                <w:szCs w:val="24"/>
                <w:lang w:val="en-GB"/>
              </w:rPr>
            </w:pPr>
            <w:r w:rsidRPr="000672DF">
              <w:rPr>
                <w:b/>
                <w:bCs/>
                <w:szCs w:val="24"/>
                <w:lang w:val="en-GB"/>
              </w:rPr>
              <w:t>New field</w:t>
            </w:r>
          </w:p>
        </w:tc>
      </w:tr>
      <w:tr w:rsidR="001D3CF7" w14:paraId="6BB38430" w14:textId="77777777" w:rsidTr="00E949F3">
        <w:tc>
          <w:tcPr>
            <w:tcW w:w="1696" w:type="dxa"/>
          </w:tcPr>
          <w:p w14:paraId="41A62F05" w14:textId="35075522" w:rsidR="00E949F3" w:rsidRDefault="00E949F3" w:rsidP="000408BA">
            <w:pPr>
              <w:rPr>
                <w:szCs w:val="24"/>
                <w:lang w:val="en-GB"/>
              </w:rPr>
            </w:pPr>
            <w:r>
              <w:rPr>
                <w:szCs w:val="24"/>
                <w:lang w:val="en-GB"/>
              </w:rPr>
              <w:t>Offshore CNY Disruption Event Provisions</w:t>
            </w:r>
          </w:p>
        </w:tc>
        <w:tc>
          <w:tcPr>
            <w:tcW w:w="2788" w:type="dxa"/>
          </w:tcPr>
          <w:p w14:paraId="2AC102B1" w14:textId="77777777" w:rsidR="000B445C" w:rsidRDefault="000B445C" w:rsidP="000B445C">
            <w:pPr>
              <w:rPr>
                <w:rFonts w:eastAsia="Times New Roman" w:cs="Arial"/>
                <w:sz w:val="22"/>
                <w:szCs w:val="22"/>
                <w:lang w:eastAsia="en-GB"/>
              </w:rPr>
            </w:pPr>
            <w:r>
              <w:rPr>
                <w:rFonts w:eastAsia="Times New Roman" w:cs="Arial"/>
                <w:sz w:val="22"/>
                <w:szCs w:val="22"/>
                <w:lang w:eastAsia="en-GB"/>
              </w:rPr>
              <w:t>field that allows the parties to disapply the “Offshore CNY Provisions” that would automatically apply if the transaction satisfied the following criteria, for which logic will be built in Swift:</w:t>
            </w:r>
            <w:r w:rsidRPr="0080794B">
              <w:rPr>
                <w:rFonts w:eastAsia="Times New Roman" w:cs="Arial"/>
                <w:sz w:val="22"/>
                <w:szCs w:val="22"/>
                <w:lang w:eastAsia="en-GB"/>
              </w:rPr>
              <w:t xml:space="preserve"> </w:t>
            </w:r>
          </w:p>
          <w:p w14:paraId="49910649" w14:textId="77777777" w:rsidR="000B445C" w:rsidRPr="0080794B" w:rsidRDefault="000B445C" w:rsidP="000B445C">
            <w:pPr>
              <w:rPr>
                <w:rFonts w:eastAsia="Times New Roman" w:cs="Arial"/>
                <w:sz w:val="22"/>
                <w:szCs w:val="22"/>
                <w:lang w:eastAsia="en-GB"/>
              </w:rPr>
            </w:pPr>
            <w:r>
              <w:rPr>
                <w:rFonts w:eastAsia="Times New Roman" w:cs="Arial"/>
                <w:sz w:val="22"/>
                <w:szCs w:val="22"/>
                <w:lang w:eastAsia="en-GB"/>
              </w:rPr>
              <w:t xml:space="preserve">If </w:t>
            </w:r>
            <w:r w:rsidRPr="0080794B">
              <w:rPr>
                <w:rFonts w:eastAsia="Times New Roman" w:cs="Arial"/>
                <w:sz w:val="22"/>
                <w:szCs w:val="22"/>
                <w:lang w:eastAsia="en-GB"/>
              </w:rPr>
              <w:t xml:space="preserve">(1) CNY is one of the currencies, (2) </w:t>
            </w:r>
            <w:r>
              <w:rPr>
                <w:rFonts w:eastAsia="Times New Roman" w:cs="Arial"/>
                <w:sz w:val="22"/>
                <w:szCs w:val="22"/>
                <w:lang w:eastAsia="en-GB"/>
              </w:rPr>
              <w:t xml:space="preserve">17F </w:t>
            </w:r>
            <w:r w:rsidRPr="0080794B">
              <w:rPr>
                <w:rFonts w:eastAsia="Times New Roman" w:cs="Arial"/>
                <w:sz w:val="22"/>
                <w:szCs w:val="22"/>
                <w:lang w:eastAsia="en-GB"/>
              </w:rPr>
              <w:t>Non-Deliverable</w:t>
            </w:r>
            <w:r>
              <w:rPr>
                <w:rFonts w:eastAsia="Times New Roman" w:cs="Arial"/>
                <w:sz w:val="22"/>
                <w:szCs w:val="22"/>
                <w:lang w:eastAsia="en-GB"/>
              </w:rPr>
              <w:t xml:space="preserve"> Settlement</w:t>
            </w:r>
            <w:r w:rsidRPr="0080794B">
              <w:rPr>
                <w:rFonts w:eastAsia="Times New Roman" w:cs="Arial"/>
                <w:sz w:val="22"/>
                <w:szCs w:val="22"/>
                <w:lang w:eastAsia="en-GB"/>
              </w:rPr>
              <w:t xml:space="preserve"> is disapplied, (3) 39M payment clearing center is offshore (i.e. anywhere but mainland China, </w:t>
            </w:r>
            <w:r w:rsidRPr="0080794B">
              <w:rPr>
                <w:rFonts w:eastAsia="Times New Roman" w:cs="Arial"/>
                <w:sz w:val="22"/>
                <w:szCs w:val="22"/>
                <w:lang w:eastAsia="en-GB"/>
              </w:rPr>
              <w:lastRenderedPageBreak/>
              <w:t>except Hong Kong, Macau and Taiwan) – then the trade is deemed to be an “Offshore CNY Transaction”</w:t>
            </w:r>
            <w:r>
              <w:rPr>
                <w:rFonts w:eastAsia="Times New Roman" w:cs="Arial"/>
                <w:sz w:val="22"/>
                <w:szCs w:val="22"/>
                <w:lang w:eastAsia="en-GB"/>
              </w:rPr>
              <w:t>, which would automatically incorporate the Offshore CNY Provisions as per 2026 FX Definitions defaults.</w:t>
            </w:r>
          </w:p>
          <w:p w14:paraId="1F66AA2F" w14:textId="77777777" w:rsidR="00E949F3" w:rsidRPr="000B445C" w:rsidRDefault="00E949F3" w:rsidP="000408BA">
            <w:pPr>
              <w:rPr>
                <w:szCs w:val="24"/>
              </w:rPr>
            </w:pPr>
          </w:p>
        </w:tc>
        <w:tc>
          <w:tcPr>
            <w:tcW w:w="2242" w:type="dxa"/>
          </w:tcPr>
          <w:p w14:paraId="409B9EF9" w14:textId="28496521" w:rsidR="00E949F3" w:rsidRDefault="000672DF" w:rsidP="000408BA">
            <w:pPr>
              <w:rPr>
                <w:szCs w:val="24"/>
                <w:lang w:val="en-GB"/>
              </w:rPr>
            </w:pPr>
            <w:proofErr w:type="spellStart"/>
            <w:r>
              <w:rPr>
                <w:szCs w:val="24"/>
                <w:lang w:val="en-GB"/>
              </w:rPr>
              <w:lastRenderedPageBreak/>
              <w:t>OffshoreCNYDisruptionEventProvisions</w:t>
            </w:r>
            <w:proofErr w:type="spellEnd"/>
          </w:p>
        </w:tc>
        <w:tc>
          <w:tcPr>
            <w:tcW w:w="2242" w:type="dxa"/>
          </w:tcPr>
          <w:p w14:paraId="2D2E7E64" w14:textId="13B2B395" w:rsidR="00E949F3" w:rsidRPr="000672DF" w:rsidRDefault="000672DF" w:rsidP="000408BA">
            <w:pPr>
              <w:rPr>
                <w:b/>
                <w:bCs/>
                <w:szCs w:val="24"/>
                <w:lang w:val="en-GB"/>
              </w:rPr>
            </w:pPr>
            <w:r w:rsidRPr="000672DF">
              <w:rPr>
                <w:b/>
                <w:bCs/>
                <w:szCs w:val="24"/>
                <w:lang w:val="en-GB"/>
              </w:rPr>
              <w:t>New field</w:t>
            </w:r>
          </w:p>
        </w:tc>
      </w:tr>
      <w:tr w:rsidR="001D3CF7" w14:paraId="1E6447C1" w14:textId="77777777" w:rsidTr="00E949F3">
        <w:tc>
          <w:tcPr>
            <w:tcW w:w="1696" w:type="dxa"/>
          </w:tcPr>
          <w:p w14:paraId="3481FE73" w14:textId="081E2F5F" w:rsidR="00E949F3" w:rsidRDefault="00E949F3" w:rsidP="000408BA">
            <w:pPr>
              <w:rPr>
                <w:szCs w:val="24"/>
                <w:lang w:val="en-GB"/>
              </w:rPr>
            </w:pPr>
            <w:r>
              <w:rPr>
                <w:szCs w:val="24"/>
                <w:lang w:val="en-GB"/>
              </w:rPr>
              <w:t>Field 77H</w:t>
            </w:r>
          </w:p>
        </w:tc>
        <w:tc>
          <w:tcPr>
            <w:tcW w:w="2788" w:type="dxa"/>
          </w:tcPr>
          <w:p w14:paraId="7A0B5099" w14:textId="34EE5813" w:rsidR="00E949F3" w:rsidRDefault="00E949F3" w:rsidP="000408BA">
            <w:pPr>
              <w:rPr>
                <w:szCs w:val="24"/>
                <w:lang w:val="en-GB"/>
              </w:rPr>
            </w:pPr>
            <w:r w:rsidRPr="00E949F3">
              <w:rPr>
                <w:b/>
                <w:bCs/>
                <w:szCs w:val="24"/>
              </w:rPr>
              <w:t>“</w:t>
            </w:r>
            <w:r w:rsidRPr="00E949F3">
              <w:rPr>
                <w:szCs w:val="24"/>
              </w:rPr>
              <w:t>Type, Date, Version of the Agreement”.</w:t>
            </w:r>
            <w:r w:rsidRPr="00E949F3">
              <w:rPr>
                <w:szCs w:val="24"/>
              </w:rPr>
              <w:br/>
              <w:t>ISDACS - it will be deleted because such provisions have been added in the 2026 FX Definitions.</w:t>
            </w:r>
            <w:r w:rsidRPr="00E949F3">
              <w:rPr>
                <w:szCs w:val="24"/>
              </w:rPr>
              <w:br/>
              <w:t xml:space="preserve">ISDACN – it will be deleted because these are no longer additional </w:t>
            </w:r>
            <w:r w:rsidRPr="00E949F3">
              <w:rPr>
                <w:szCs w:val="24"/>
              </w:rPr>
              <w:lastRenderedPageBreak/>
              <w:t>provisions and they are not related to a master agreement.</w:t>
            </w:r>
          </w:p>
        </w:tc>
        <w:tc>
          <w:tcPr>
            <w:tcW w:w="2242" w:type="dxa"/>
          </w:tcPr>
          <w:p w14:paraId="1F200115" w14:textId="401D382A" w:rsidR="00E949F3" w:rsidRDefault="001D3CF7" w:rsidP="000408BA">
            <w:pPr>
              <w:rPr>
                <w:szCs w:val="24"/>
                <w:lang w:val="en-GB"/>
              </w:rPr>
            </w:pPr>
            <w:proofErr w:type="spellStart"/>
            <w:r>
              <w:rPr>
                <w:szCs w:val="24"/>
                <w:lang w:val="en-GB"/>
              </w:rPr>
              <w:lastRenderedPageBreak/>
              <w:t>AgreementDetails</w:t>
            </w:r>
            <w:proofErr w:type="spellEnd"/>
          </w:p>
        </w:tc>
        <w:tc>
          <w:tcPr>
            <w:tcW w:w="2242" w:type="dxa"/>
          </w:tcPr>
          <w:p w14:paraId="29D65414" w14:textId="322D2CAC" w:rsidR="00E949F3" w:rsidRDefault="00E46E57" w:rsidP="000408BA">
            <w:pPr>
              <w:rPr>
                <w:szCs w:val="24"/>
                <w:lang w:val="en-GB"/>
              </w:rPr>
            </w:pPr>
            <w:r>
              <w:rPr>
                <w:szCs w:val="24"/>
                <w:lang w:val="en-GB"/>
              </w:rPr>
              <w:t>No functional change needed as the codes are not validated. Guidelines could be updated</w:t>
            </w:r>
          </w:p>
        </w:tc>
      </w:tr>
    </w:tbl>
    <w:p w14:paraId="277CD683" w14:textId="77777777" w:rsidR="00413364" w:rsidRDefault="00413364" w:rsidP="000408BA">
      <w:pPr>
        <w:rPr>
          <w:szCs w:val="24"/>
          <w:lang w:val="en-GB"/>
        </w:rPr>
      </w:pPr>
    </w:p>
    <w:p w14:paraId="3BB91AEE" w14:textId="0161A346" w:rsidR="005246BE" w:rsidRDefault="00E74C04" w:rsidP="00C656B1">
      <w:pPr>
        <w:numPr>
          <w:ilvl w:val="0"/>
          <w:numId w:val="6"/>
        </w:numPr>
        <w:rPr>
          <w:b/>
          <w:szCs w:val="24"/>
          <w:lang w:val="en-GB"/>
        </w:rPr>
      </w:pPr>
      <w:r w:rsidRPr="00321273">
        <w:rPr>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235DDDA6" w14:textId="46934ACC" w:rsidR="00831F47" w:rsidRDefault="00831F47" w:rsidP="00831F47">
      <w:pPr>
        <w:pStyle w:val="ListParagraph"/>
        <w:numPr>
          <w:ilvl w:val="0"/>
          <w:numId w:val="6"/>
        </w:numPr>
      </w:pPr>
      <w:r w:rsidRPr="00831F47">
        <w:rPr>
          <w:lang w:val="en-GB"/>
        </w:rPr>
        <w:t xml:space="preserve">CLS also has a policy of aligning messages to the latest versions and standards.  Adding the </w:t>
      </w:r>
      <w:r>
        <w:rPr>
          <w:lang w:val="en-GB"/>
        </w:rPr>
        <w:t>ISDA FX Definitions changes</w:t>
      </w:r>
      <w:r w:rsidRPr="00831F47">
        <w:rPr>
          <w:lang w:val="en-GB"/>
        </w:rPr>
        <w:t xml:space="preserve"> to the </w:t>
      </w:r>
      <w:proofErr w:type="spellStart"/>
      <w:r w:rsidRPr="00831F47">
        <w:rPr>
          <w:lang w:val="en-GB"/>
        </w:rPr>
        <w:t>fxtr</w:t>
      </w:r>
      <w:proofErr w:type="spellEnd"/>
      <w:r w:rsidRPr="00831F47">
        <w:rPr>
          <w:lang w:val="en-GB"/>
        </w:rPr>
        <w:t xml:space="preserve"> messages continues this practice.  This will meet our Participants expectations regarding standards alignment across our message suite.</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4A67E635" w14:textId="719B2AED" w:rsidR="00831F47" w:rsidRDefault="00831F47" w:rsidP="00831F47">
      <w:pPr>
        <w:numPr>
          <w:ilvl w:val="0"/>
          <w:numId w:val="6"/>
        </w:numPr>
        <w:rPr>
          <w:szCs w:val="24"/>
          <w:lang w:val="en-GB"/>
        </w:rPr>
      </w:pPr>
      <w:r>
        <w:rPr>
          <w:szCs w:val="24"/>
          <w:lang w:val="en-GB"/>
        </w:rPr>
        <w:t>Default timeline of June 1</w:t>
      </w:r>
      <w:r w:rsidRPr="00F27C6D">
        <w:rPr>
          <w:szCs w:val="24"/>
          <w:vertAlign w:val="superscript"/>
          <w:lang w:val="en-GB"/>
        </w:rPr>
        <w:t>st</w:t>
      </w:r>
      <w:r>
        <w:rPr>
          <w:szCs w:val="24"/>
          <w:lang w:val="en-GB"/>
        </w:rPr>
        <w:t xml:space="preserve"> for submission and availability of the new versions in November 2027.</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1C80E594" w:rsidR="00130EB9" w:rsidRPr="00AD7CD5" w:rsidRDefault="00831F47"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5418E" w14:textId="77777777" w:rsidR="00C15BFE" w:rsidRDefault="00C15BFE">
      <w:r>
        <w:separator/>
      </w:r>
    </w:p>
  </w:endnote>
  <w:endnote w:type="continuationSeparator" w:id="0">
    <w:p w14:paraId="7CA7AEB4" w14:textId="77777777" w:rsidR="00C15BFE" w:rsidRDefault="00C1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E7B9" w14:textId="77777777" w:rsidR="00387639" w:rsidRDefault="00387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0D5D24AD" w:rsidR="00567F13" w:rsidRDefault="005475E5">
    <w:pPr>
      <w:pStyle w:val="Footer"/>
      <w:rPr>
        <w:rStyle w:val="PageNumber"/>
      </w:rPr>
    </w:pPr>
    <w:r>
      <w:t>CR1575_AlignmentToFX</w:t>
    </w:r>
    <w:r w:rsidR="008802E0">
      <w:t>Definitions_v2</w:t>
    </w:r>
    <w:r w:rsidR="00D33325">
      <w:t xml:space="preserve">.docx           </w:t>
    </w:r>
    <w:r w:rsidR="008B7905">
      <w:t xml:space="preserve"> </w:t>
    </w:r>
    <w:r w:rsidR="00567F13">
      <w:t xml:space="preserve">Produced by </w:t>
    </w:r>
    <w:r w:rsidR="008802E0">
      <w:t>CLS Bank International</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EBE7" w14:textId="77777777" w:rsidR="00387639" w:rsidRDefault="00387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43283" w14:textId="77777777" w:rsidR="00C15BFE" w:rsidRDefault="00C15BFE">
      <w:r>
        <w:separator/>
      </w:r>
    </w:p>
  </w:footnote>
  <w:footnote w:type="continuationSeparator" w:id="0">
    <w:p w14:paraId="3092D921" w14:textId="77777777" w:rsidR="00C15BFE" w:rsidRDefault="00C15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95D1" w14:textId="77777777" w:rsidR="00387639" w:rsidRDefault="00387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55F5AE65" w:rsidR="00E74C04" w:rsidRPr="00801493" w:rsidRDefault="00801493">
    <w:pPr>
      <w:pStyle w:val="Header"/>
      <w:rPr>
        <w:lang w:val="fr-BE"/>
      </w:rPr>
    </w:pPr>
    <w:r>
      <w:rPr>
        <w:lang w:val="fr-BE"/>
      </w:rPr>
      <w:t xml:space="preserve">RA ID : </w:t>
    </w:r>
    <w:r w:rsidR="00387639">
      <w:rPr>
        <w:lang w:val="fr-BE"/>
      </w:rPr>
      <w:t>CR1575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4F2B" w14:textId="77777777" w:rsidR="00387639" w:rsidRDefault="00387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820"/>
    <w:rsid w:val="0003395A"/>
    <w:rsid w:val="000408BA"/>
    <w:rsid w:val="00041661"/>
    <w:rsid w:val="000558EF"/>
    <w:rsid w:val="0006293F"/>
    <w:rsid w:val="000672DF"/>
    <w:rsid w:val="00070308"/>
    <w:rsid w:val="00070CF5"/>
    <w:rsid w:val="00080D3A"/>
    <w:rsid w:val="000823AA"/>
    <w:rsid w:val="00082743"/>
    <w:rsid w:val="000837C7"/>
    <w:rsid w:val="00083C96"/>
    <w:rsid w:val="000A172E"/>
    <w:rsid w:val="000A20E4"/>
    <w:rsid w:val="000B445C"/>
    <w:rsid w:val="000B65C7"/>
    <w:rsid w:val="000C015D"/>
    <w:rsid w:val="000D5D39"/>
    <w:rsid w:val="000E2471"/>
    <w:rsid w:val="000E4F07"/>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B5F17"/>
    <w:rsid w:val="001B6806"/>
    <w:rsid w:val="001D0D1B"/>
    <w:rsid w:val="001D176B"/>
    <w:rsid w:val="001D20B3"/>
    <w:rsid w:val="001D3CF7"/>
    <w:rsid w:val="001E287E"/>
    <w:rsid w:val="001E2B1C"/>
    <w:rsid w:val="001E3BCF"/>
    <w:rsid w:val="001E70BF"/>
    <w:rsid w:val="002071DD"/>
    <w:rsid w:val="00217122"/>
    <w:rsid w:val="00217AE9"/>
    <w:rsid w:val="00225AA9"/>
    <w:rsid w:val="00230574"/>
    <w:rsid w:val="00231CFF"/>
    <w:rsid w:val="00240E93"/>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1273"/>
    <w:rsid w:val="00324C6F"/>
    <w:rsid w:val="00332E8F"/>
    <w:rsid w:val="00336209"/>
    <w:rsid w:val="00336ED6"/>
    <w:rsid w:val="00360300"/>
    <w:rsid w:val="00380928"/>
    <w:rsid w:val="00386B78"/>
    <w:rsid w:val="00387639"/>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13364"/>
    <w:rsid w:val="00427966"/>
    <w:rsid w:val="0044313F"/>
    <w:rsid w:val="00445D10"/>
    <w:rsid w:val="00446B25"/>
    <w:rsid w:val="004475F9"/>
    <w:rsid w:val="0045022C"/>
    <w:rsid w:val="00451986"/>
    <w:rsid w:val="00453E08"/>
    <w:rsid w:val="00462051"/>
    <w:rsid w:val="00465900"/>
    <w:rsid w:val="00473145"/>
    <w:rsid w:val="004A02CE"/>
    <w:rsid w:val="004A168F"/>
    <w:rsid w:val="004A31AA"/>
    <w:rsid w:val="004B5A22"/>
    <w:rsid w:val="004D0B29"/>
    <w:rsid w:val="004E1F21"/>
    <w:rsid w:val="004F0578"/>
    <w:rsid w:val="004F0934"/>
    <w:rsid w:val="004F61D5"/>
    <w:rsid w:val="0050171A"/>
    <w:rsid w:val="00520C9C"/>
    <w:rsid w:val="0052302E"/>
    <w:rsid w:val="00523EA7"/>
    <w:rsid w:val="005246BE"/>
    <w:rsid w:val="005411C7"/>
    <w:rsid w:val="005475E5"/>
    <w:rsid w:val="00554A3C"/>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6F1186"/>
    <w:rsid w:val="00706604"/>
    <w:rsid w:val="007118C4"/>
    <w:rsid w:val="00723DE0"/>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7AB4"/>
    <w:rsid w:val="007C7CD2"/>
    <w:rsid w:val="007D3EB0"/>
    <w:rsid w:val="007D69B5"/>
    <w:rsid w:val="007D6A9F"/>
    <w:rsid w:val="007E64D9"/>
    <w:rsid w:val="007F6A8C"/>
    <w:rsid w:val="00801493"/>
    <w:rsid w:val="008050F5"/>
    <w:rsid w:val="00810228"/>
    <w:rsid w:val="0081068B"/>
    <w:rsid w:val="00811DCF"/>
    <w:rsid w:val="00812324"/>
    <w:rsid w:val="00814D4C"/>
    <w:rsid w:val="008265E8"/>
    <w:rsid w:val="008270CD"/>
    <w:rsid w:val="008270DF"/>
    <w:rsid w:val="00831F47"/>
    <w:rsid w:val="0084123C"/>
    <w:rsid w:val="008438AF"/>
    <w:rsid w:val="00843FE8"/>
    <w:rsid w:val="00854FA6"/>
    <w:rsid w:val="0085530C"/>
    <w:rsid w:val="00861DA2"/>
    <w:rsid w:val="0086406A"/>
    <w:rsid w:val="008656A6"/>
    <w:rsid w:val="00865C2F"/>
    <w:rsid w:val="0086676E"/>
    <w:rsid w:val="00875210"/>
    <w:rsid w:val="008802E0"/>
    <w:rsid w:val="008869D6"/>
    <w:rsid w:val="00887949"/>
    <w:rsid w:val="008A7F65"/>
    <w:rsid w:val="008B7905"/>
    <w:rsid w:val="008F5C90"/>
    <w:rsid w:val="00906C6A"/>
    <w:rsid w:val="00914273"/>
    <w:rsid w:val="00916A80"/>
    <w:rsid w:val="009279BF"/>
    <w:rsid w:val="00937D26"/>
    <w:rsid w:val="00951C86"/>
    <w:rsid w:val="00956D7A"/>
    <w:rsid w:val="00965199"/>
    <w:rsid w:val="00966046"/>
    <w:rsid w:val="009770EE"/>
    <w:rsid w:val="009C1445"/>
    <w:rsid w:val="009C1581"/>
    <w:rsid w:val="009D2EB8"/>
    <w:rsid w:val="00A10221"/>
    <w:rsid w:val="00A16FA2"/>
    <w:rsid w:val="00A21B8D"/>
    <w:rsid w:val="00A22F1A"/>
    <w:rsid w:val="00A25B84"/>
    <w:rsid w:val="00A31BF8"/>
    <w:rsid w:val="00A32450"/>
    <w:rsid w:val="00A46877"/>
    <w:rsid w:val="00A47C6F"/>
    <w:rsid w:val="00A5492F"/>
    <w:rsid w:val="00A60DC3"/>
    <w:rsid w:val="00A60DDC"/>
    <w:rsid w:val="00A60E56"/>
    <w:rsid w:val="00A91F56"/>
    <w:rsid w:val="00AA5E76"/>
    <w:rsid w:val="00AD7CD5"/>
    <w:rsid w:val="00AE0A90"/>
    <w:rsid w:val="00AE4D14"/>
    <w:rsid w:val="00AF09E1"/>
    <w:rsid w:val="00AF16A4"/>
    <w:rsid w:val="00AF2EBF"/>
    <w:rsid w:val="00B01132"/>
    <w:rsid w:val="00B06CA8"/>
    <w:rsid w:val="00B17D95"/>
    <w:rsid w:val="00B21761"/>
    <w:rsid w:val="00B21FA3"/>
    <w:rsid w:val="00B307A7"/>
    <w:rsid w:val="00B30CA9"/>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2CF6"/>
    <w:rsid w:val="00BD6786"/>
    <w:rsid w:val="00C06496"/>
    <w:rsid w:val="00C122AE"/>
    <w:rsid w:val="00C131CF"/>
    <w:rsid w:val="00C15BF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29CE"/>
    <w:rsid w:val="00CD363B"/>
    <w:rsid w:val="00CD3C90"/>
    <w:rsid w:val="00CD59B1"/>
    <w:rsid w:val="00CF098A"/>
    <w:rsid w:val="00CF3041"/>
    <w:rsid w:val="00D123C1"/>
    <w:rsid w:val="00D12CFC"/>
    <w:rsid w:val="00D234FD"/>
    <w:rsid w:val="00D2600B"/>
    <w:rsid w:val="00D33325"/>
    <w:rsid w:val="00D51B61"/>
    <w:rsid w:val="00D56571"/>
    <w:rsid w:val="00D67DE0"/>
    <w:rsid w:val="00D73E09"/>
    <w:rsid w:val="00D74F66"/>
    <w:rsid w:val="00D82FBD"/>
    <w:rsid w:val="00D9338F"/>
    <w:rsid w:val="00D9582C"/>
    <w:rsid w:val="00DA043A"/>
    <w:rsid w:val="00DA116C"/>
    <w:rsid w:val="00DA22C9"/>
    <w:rsid w:val="00DB3A62"/>
    <w:rsid w:val="00DB419A"/>
    <w:rsid w:val="00DC195F"/>
    <w:rsid w:val="00DC68D5"/>
    <w:rsid w:val="00DD37B4"/>
    <w:rsid w:val="00DD422D"/>
    <w:rsid w:val="00E0487B"/>
    <w:rsid w:val="00E11D29"/>
    <w:rsid w:val="00E1588B"/>
    <w:rsid w:val="00E256FC"/>
    <w:rsid w:val="00E3221E"/>
    <w:rsid w:val="00E37E77"/>
    <w:rsid w:val="00E46E57"/>
    <w:rsid w:val="00E5111B"/>
    <w:rsid w:val="00E67D1B"/>
    <w:rsid w:val="00E74C04"/>
    <w:rsid w:val="00E7537D"/>
    <w:rsid w:val="00E76E67"/>
    <w:rsid w:val="00E80995"/>
    <w:rsid w:val="00E840B6"/>
    <w:rsid w:val="00E845AB"/>
    <w:rsid w:val="00E8579D"/>
    <w:rsid w:val="00E928F1"/>
    <w:rsid w:val="00E949F3"/>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0582D"/>
    <w:rsid w:val="00F25441"/>
    <w:rsid w:val="00F260BE"/>
    <w:rsid w:val="00F33643"/>
    <w:rsid w:val="00F34C66"/>
    <w:rsid w:val="00F3743B"/>
    <w:rsid w:val="00F47BF0"/>
    <w:rsid w:val="00F521A4"/>
    <w:rsid w:val="00F52C18"/>
    <w:rsid w:val="00F56866"/>
    <w:rsid w:val="00F62A6F"/>
    <w:rsid w:val="00F6410E"/>
    <w:rsid w:val="00F74EB6"/>
    <w:rsid w:val="00F8432C"/>
    <w:rsid w:val="00F9034F"/>
    <w:rsid w:val="00F91D83"/>
    <w:rsid w:val="00F91F93"/>
    <w:rsid w:val="00F93A64"/>
    <w:rsid w:val="00F94A2A"/>
    <w:rsid w:val="00FA112C"/>
    <w:rsid w:val="00FB56E2"/>
    <w:rsid w:val="00FC47D1"/>
    <w:rsid w:val="00FC5011"/>
    <w:rsid w:val="00FD0B96"/>
    <w:rsid w:val="00FD54A5"/>
    <w:rsid w:val="00FD58BE"/>
    <w:rsid w:val="00FE3C64"/>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831F47"/>
    <w:pPr>
      <w:ind w:left="720"/>
      <w:contextualSpacing/>
    </w:pPr>
  </w:style>
  <w:style w:type="character" w:styleId="FollowedHyperlink">
    <w:name w:val="FollowedHyperlink"/>
    <w:basedOn w:val="DefaultParagraphFont"/>
    <w:rsid w:val="009D2E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o20022.org/catalogue_of_messages.pa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MSKTH6SNCJSU-234293521-54036</_dlc_DocId>
    <_dlc_DocIdUrl xmlns="806285ac-449a-4fb1-8311-58d88e150cc7">
      <Url>https://swiftcorp.sharepoint.com/sites/ps-ow-standards team/_layouts/15/DocIdRedir.aspx?ID=MSKTH6SNCJSU-234293521-54036</Url>
      <Description>MSKTH6SNCJSU-234293521-54036</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4.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5.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 id="{a6a231e5-07d8-4a55-a06a-4e9c62495139}" enabled="1" method="Standard" siteId="{e1af7449-aca3-4c31-ae0b-2e16c965d5fb}"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1120</Words>
  <Characters>6400</Characters>
  <Application>Microsoft Office Word</Application>
  <DocSecurity>0</DocSecurity>
  <Lines>460</Lines>
  <Paragraphs>96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7442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BOLDEAU Kessle</cp:lastModifiedBy>
  <cp:revision>8</cp:revision>
  <cp:lastPrinted>2009-03-10T11:18:00Z</cp:lastPrinted>
  <dcterms:created xsi:type="dcterms:W3CDTF">2026-06-24T10:11:00Z</dcterms:created>
  <dcterms:modified xsi:type="dcterms:W3CDTF">2026-07-07T13:46:00Z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1797c3aa-cd73-4379-9af9-74eb978f289e</vt:lpwstr>
  </property>
  <property fmtid="{D5CDD505-2E9C-101B-9397-08002B2CF9AE}" pid="11" name="MediaServiceImageTags">
    <vt:lpwstr/>
  </property>
</Properties>
</file>