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42B5980F"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C9213C">
      <w:pPr>
        <w:jc w:val="both"/>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9213C">
      <w:pPr>
        <w:numPr>
          <w:ilvl w:val="0"/>
          <w:numId w:val="6"/>
        </w:numPr>
        <w:jc w:val="both"/>
        <w:rPr>
          <w:b/>
          <w:szCs w:val="24"/>
          <w:lang w:val="en-GB"/>
        </w:rPr>
      </w:pPr>
      <w:r>
        <w:rPr>
          <w:b/>
          <w:szCs w:val="24"/>
          <w:lang w:val="en-GB"/>
        </w:rPr>
        <w:t xml:space="preserve">Origin of the </w:t>
      </w:r>
      <w:r w:rsidR="00D123C1">
        <w:rPr>
          <w:b/>
          <w:szCs w:val="24"/>
          <w:lang w:val="en-GB"/>
        </w:rPr>
        <w:t>request:</w:t>
      </w:r>
    </w:p>
    <w:p w14:paraId="6B15981D" w14:textId="5A35E730" w:rsidR="00F23DF6" w:rsidRDefault="008438AF" w:rsidP="00C9213C">
      <w:pPr>
        <w:jc w:val="both"/>
        <w:rPr>
          <w:szCs w:val="24"/>
          <w:lang w:val="en-GB"/>
        </w:rPr>
      </w:pPr>
      <w:r w:rsidRPr="008438AF">
        <w:rPr>
          <w:i/>
          <w:szCs w:val="24"/>
          <w:lang w:val="en-GB"/>
        </w:rPr>
        <w:t>A.1 Submitter</w:t>
      </w:r>
      <w:r>
        <w:rPr>
          <w:szCs w:val="24"/>
          <w:lang w:val="en-GB"/>
        </w:rPr>
        <w:t xml:space="preserve">: </w:t>
      </w:r>
      <w:r w:rsidR="00F23DF6">
        <w:rPr>
          <w:szCs w:val="24"/>
          <w:lang w:val="en-GB"/>
        </w:rPr>
        <w:t>Banque de France</w:t>
      </w:r>
      <w:r w:rsidR="00F23DF6" w:rsidRPr="00F23DF6">
        <w:rPr>
          <w:szCs w:val="24"/>
          <w:lang w:val="en-GB"/>
        </w:rPr>
        <w:t xml:space="preserve"> on behalf of the </w:t>
      </w:r>
      <w:proofErr w:type="spellStart"/>
      <w:r w:rsidR="00F23DF6" w:rsidRPr="00F23DF6">
        <w:rPr>
          <w:szCs w:val="24"/>
          <w:lang w:val="en-GB"/>
        </w:rPr>
        <w:t>Eurosystem</w:t>
      </w:r>
      <w:proofErr w:type="spellEnd"/>
      <w:r w:rsidR="00F23DF6" w:rsidRPr="00F23DF6">
        <w:rPr>
          <w:szCs w:val="24"/>
          <w:lang w:val="en-GB"/>
        </w:rPr>
        <w:t xml:space="preserve"> / 4CB </w:t>
      </w:r>
    </w:p>
    <w:p w14:paraId="3872C480" w14:textId="60F2FD78" w:rsidR="008438AF" w:rsidRPr="00246B40" w:rsidRDefault="000408BA" w:rsidP="00C9213C">
      <w:pPr>
        <w:jc w:val="both"/>
        <w:rPr>
          <w:szCs w:val="24"/>
          <w:lang w:val="fr-BE"/>
        </w:rPr>
      </w:pPr>
      <w:r w:rsidRPr="00246B40">
        <w:rPr>
          <w:i/>
          <w:szCs w:val="24"/>
          <w:lang w:val="fr-BE"/>
        </w:rPr>
        <w:t xml:space="preserve">A.2 </w:t>
      </w:r>
      <w:r w:rsidR="00CC68E1" w:rsidRPr="00246B40">
        <w:rPr>
          <w:i/>
          <w:szCs w:val="24"/>
          <w:lang w:val="fr-BE"/>
        </w:rPr>
        <w:t>C</w:t>
      </w:r>
      <w:r w:rsidRPr="00246B40">
        <w:rPr>
          <w:i/>
          <w:szCs w:val="24"/>
          <w:lang w:val="fr-BE"/>
        </w:rPr>
        <w:t xml:space="preserve">ontact </w:t>
      </w:r>
      <w:proofErr w:type="spellStart"/>
      <w:proofErr w:type="gramStart"/>
      <w:r w:rsidRPr="00246B40">
        <w:rPr>
          <w:i/>
          <w:szCs w:val="24"/>
          <w:lang w:val="fr-BE"/>
        </w:rPr>
        <w:t>person</w:t>
      </w:r>
      <w:proofErr w:type="spellEnd"/>
      <w:r w:rsidRPr="00246B40">
        <w:rPr>
          <w:i/>
          <w:szCs w:val="24"/>
          <w:lang w:val="fr-BE"/>
        </w:rPr>
        <w:t>:</w:t>
      </w:r>
      <w:proofErr w:type="gramEnd"/>
      <w:r w:rsidR="008438AF" w:rsidRPr="00246B40">
        <w:rPr>
          <w:szCs w:val="24"/>
          <w:lang w:val="fr-BE"/>
        </w:rPr>
        <w:t xml:space="preserve"> </w:t>
      </w:r>
    </w:p>
    <w:p w14:paraId="50CB0B1F" w14:textId="1061003B" w:rsidR="00F23DF6" w:rsidRPr="00246B40" w:rsidRDefault="00F23DF6" w:rsidP="00C9213C">
      <w:pPr>
        <w:jc w:val="both"/>
        <w:rPr>
          <w:szCs w:val="24"/>
          <w:lang w:val="fr-BE"/>
        </w:rPr>
      </w:pPr>
      <w:r w:rsidRPr="00246B40">
        <w:rPr>
          <w:szCs w:val="24"/>
          <w:lang w:val="fr-BE"/>
        </w:rPr>
        <w:t xml:space="preserve">- </w:t>
      </w:r>
      <w:proofErr w:type="spellStart"/>
      <w:r w:rsidRPr="00246B40">
        <w:rPr>
          <w:szCs w:val="24"/>
          <w:lang w:val="fr-BE"/>
        </w:rPr>
        <w:t>Ons</w:t>
      </w:r>
      <w:proofErr w:type="spellEnd"/>
      <w:r w:rsidRPr="00246B40">
        <w:rPr>
          <w:szCs w:val="24"/>
          <w:lang w:val="fr-BE"/>
        </w:rPr>
        <w:t xml:space="preserve"> </w:t>
      </w:r>
      <w:proofErr w:type="spellStart"/>
      <w:r w:rsidRPr="00246B40">
        <w:rPr>
          <w:szCs w:val="24"/>
          <w:lang w:val="fr-BE"/>
        </w:rPr>
        <w:t>Jraied</w:t>
      </w:r>
      <w:proofErr w:type="spellEnd"/>
      <w:r w:rsidRPr="00246B40">
        <w:rPr>
          <w:szCs w:val="24"/>
          <w:lang w:val="fr-BE"/>
        </w:rPr>
        <w:t xml:space="preserve"> </w:t>
      </w:r>
      <w:proofErr w:type="spellStart"/>
      <w:r w:rsidRPr="00246B40">
        <w:rPr>
          <w:szCs w:val="24"/>
          <w:lang w:val="fr-BE"/>
        </w:rPr>
        <w:t>Ons</w:t>
      </w:r>
      <w:proofErr w:type="spellEnd"/>
      <w:r w:rsidRPr="00246B40">
        <w:rPr>
          <w:szCs w:val="24"/>
          <w:lang w:val="fr-BE"/>
        </w:rPr>
        <w:t xml:space="preserve">, </w:t>
      </w:r>
      <w:hyperlink r:id="rId10" w:history="1">
        <w:r w:rsidRPr="00246B40">
          <w:rPr>
            <w:rStyle w:val="Hyperlink"/>
            <w:szCs w:val="24"/>
            <w:lang w:val="fr-BE"/>
          </w:rPr>
          <w:t>Ons.JRAIED.external@banque-france.fr</w:t>
        </w:r>
      </w:hyperlink>
    </w:p>
    <w:p w14:paraId="3830075F" w14:textId="28D8B5A0" w:rsidR="00FC25E2" w:rsidRPr="00FC25E2" w:rsidRDefault="00FC25E2" w:rsidP="00C9213C">
      <w:pPr>
        <w:jc w:val="both"/>
        <w:rPr>
          <w:szCs w:val="24"/>
          <w:lang w:val="de-DE"/>
        </w:rPr>
      </w:pPr>
      <w:r w:rsidRPr="00FC25E2">
        <w:rPr>
          <w:szCs w:val="24"/>
          <w:lang w:val="de-DE"/>
        </w:rPr>
        <w:t xml:space="preserve">- Ronnie Stal, </w:t>
      </w:r>
      <w:r>
        <w:fldChar w:fldCharType="begin"/>
      </w:r>
      <w:r w:rsidRPr="005C7881">
        <w:rPr>
          <w:lang w:val="fr-BE"/>
        </w:rPr>
        <w:instrText>HYPERLINK "mailto:ronnie.stal@banque-France.fr"</w:instrText>
      </w:r>
      <w:r>
        <w:fldChar w:fldCharType="separate"/>
      </w:r>
      <w:r w:rsidRPr="00767358">
        <w:rPr>
          <w:rStyle w:val="Hyperlink"/>
          <w:szCs w:val="24"/>
          <w:lang w:val="de-DE"/>
        </w:rPr>
        <w:t>ronnie.stal@banque-France.fr</w:t>
      </w:r>
      <w:r>
        <w:fldChar w:fldCharType="end"/>
      </w:r>
      <w:r>
        <w:rPr>
          <w:szCs w:val="24"/>
          <w:lang w:val="de-DE"/>
        </w:rPr>
        <w:t xml:space="preserve"> </w:t>
      </w:r>
    </w:p>
    <w:p w14:paraId="4699D69C" w14:textId="71B1ECF0" w:rsidR="00F23DF6" w:rsidRDefault="00F23DF6" w:rsidP="00C9213C">
      <w:pPr>
        <w:jc w:val="both"/>
        <w:rPr>
          <w:szCs w:val="24"/>
          <w:lang w:val="en-GB"/>
        </w:rPr>
      </w:pPr>
      <w:r>
        <w:rPr>
          <w:szCs w:val="24"/>
          <w:lang w:val="en-GB"/>
        </w:rPr>
        <w:t xml:space="preserve">- </w:t>
      </w:r>
      <w:hyperlink r:id="rId11" w:history="1">
        <w:r w:rsidRPr="00EC5304">
          <w:rPr>
            <w:rStyle w:val="Hyperlink"/>
            <w:szCs w:val="24"/>
          </w:rPr>
          <w:t>t2s-fam@bundesbank.de</w:t>
        </w:r>
      </w:hyperlink>
    </w:p>
    <w:p w14:paraId="16BE46F2" w14:textId="77777777" w:rsidR="00F23DF6" w:rsidRDefault="008438AF" w:rsidP="00C9213C">
      <w:pPr>
        <w:jc w:val="both"/>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23DF6" w:rsidRPr="00901BC4">
        <w:rPr>
          <w:szCs w:val="24"/>
          <w:lang w:val="en-GB"/>
        </w:rPr>
        <w:t>SWIFT</w:t>
      </w:r>
      <w:r w:rsidR="00F23DF6">
        <w:rPr>
          <w:szCs w:val="24"/>
          <w:lang w:val="en-GB"/>
        </w:rPr>
        <w:t xml:space="preserve"> (Karine TAQUET)</w:t>
      </w:r>
    </w:p>
    <w:p w14:paraId="1CB46551" w14:textId="77777777" w:rsidR="00F23DF6" w:rsidRDefault="00F23DF6" w:rsidP="00C9213C">
      <w:pPr>
        <w:ind w:left="360"/>
        <w:jc w:val="both"/>
        <w:rPr>
          <w:b/>
          <w:lang w:val="en-GB"/>
        </w:rPr>
      </w:pPr>
    </w:p>
    <w:p w14:paraId="7D3E83FC" w14:textId="4F9F9F21" w:rsidR="00854FA6" w:rsidRDefault="00854FA6" w:rsidP="00C9213C">
      <w:pPr>
        <w:numPr>
          <w:ilvl w:val="0"/>
          <w:numId w:val="6"/>
        </w:numPr>
        <w:jc w:val="both"/>
        <w:rPr>
          <w:b/>
          <w:lang w:val="en-GB"/>
        </w:rPr>
      </w:pPr>
      <w:r>
        <w:rPr>
          <w:b/>
          <w:lang w:val="en-GB"/>
        </w:rPr>
        <w:t>Related m</w:t>
      </w:r>
      <w:r w:rsidRPr="00451986">
        <w:rPr>
          <w:b/>
          <w:lang w:val="en-GB"/>
        </w:rPr>
        <w:t>essages:</w:t>
      </w:r>
    </w:p>
    <w:p w14:paraId="697A77FF" w14:textId="77777777" w:rsidR="00F23DF6" w:rsidRDefault="00F23DF6" w:rsidP="00C9213C">
      <w:pPr>
        <w:jc w:val="both"/>
        <w:rPr>
          <w:szCs w:val="24"/>
          <w:lang w:val="en-GB"/>
        </w:rPr>
      </w:pPr>
      <w:r w:rsidRPr="00901BC4">
        <w:rPr>
          <w:szCs w:val="24"/>
          <w:lang w:val="en-GB"/>
        </w:rPr>
        <w:t>Impacted messages:</w:t>
      </w:r>
    </w:p>
    <w:p w14:paraId="05BCC40C" w14:textId="723D773D" w:rsidR="00F23DF6" w:rsidRDefault="00F23DF6" w:rsidP="00C9213C">
      <w:pPr>
        <w:jc w:val="both"/>
        <w:rPr>
          <w:szCs w:val="24"/>
        </w:rPr>
      </w:pPr>
      <w:r>
        <w:rPr>
          <w:szCs w:val="24"/>
          <w:lang w:val="en-GB"/>
        </w:rPr>
        <w:t xml:space="preserve">semt.026 </w:t>
      </w:r>
      <w:r w:rsidRPr="00F23DF6">
        <w:rPr>
          <w:szCs w:val="24"/>
        </w:rPr>
        <w:t>Securities Settlement Transaction Query</w:t>
      </w:r>
    </w:p>
    <w:p w14:paraId="14D82459" w14:textId="3A711F32" w:rsidR="00F23DF6" w:rsidRDefault="00F23DF6" w:rsidP="00C9213C">
      <w:pPr>
        <w:jc w:val="both"/>
        <w:rPr>
          <w:szCs w:val="24"/>
        </w:rPr>
      </w:pPr>
      <w:r>
        <w:rPr>
          <w:szCs w:val="24"/>
        </w:rPr>
        <w:t xml:space="preserve">semt.027 </w:t>
      </w:r>
      <w:r w:rsidRPr="00F23DF6">
        <w:rPr>
          <w:szCs w:val="24"/>
        </w:rPr>
        <w:t>Securities Settlement Transaction Query Response</w:t>
      </w:r>
    </w:p>
    <w:p w14:paraId="5C930D0F" w14:textId="77777777" w:rsidR="00F23DF6" w:rsidRPr="00901BC4" w:rsidRDefault="00F23DF6" w:rsidP="00C9213C">
      <w:pPr>
        <w:jc w:val="both"/>
        <w:rPr>
          <w:szCs w:val="24"/>
          <w:lang w:val="en-GB"/>
        </w:rPr>
      </w:pPr>
    </w:p>
    <w:p w14:paraId="09EDAEAF" w14:textId="77777777" w:rsidR="00854FA6" w:rsidRDefault="006D4A37" w:rsidP="00C9213C">
      <w:pPr>
        <w:numPr>
          <w:ilvl w:val="0"/>
          <w:numId w:val="6"/>
        </w:numPr>
        <w:jc w:val="both"/>
        <w:rPr>
          <w:lang w:val="en-GB"/>
        </w:rPr>
      </w:pPr>
      <w:r>
        <w:rPr>
          <w:b/>
          <w:lang w:val="en-GB"/>
        </w:rPr>
        <w:t>Description of the change request:</w:t>
      </w:r>
    </w:p>
    <w:p w14:paraId="01496489" w14:textId="7DA5DCE7" w:rsidR="00FF0817" w:rsidRDefault="00FF0817" w:rsidP="00C9213C">
      <w:pPr>
        <w:jc w:val="both"/>
      </w:pPr>
      <w:r w:rsidRPr="00FF0817">
        <w:t>In the context of T+1</w:t>
      </w:r>
      <w:r w:rsidR="00C9213C">
        <w:t xml:space="preserve"> (</w:t>
      </w:r>
      <w:r w:rsidR="00C9213C" w:rsidRPr="00C9213C">
        <w:t>shorten the settlement cycle in the EU from two days (so‑called “T+2”) to one day (“T+1”)</w:t>
      </w:r>
      <w:r w:rsidR="00C9213C">
        <w:t>)</w:t>
      </w:r>
      <w:r w:rsidRPr="00FF0817">
        <w:t xml:space="preserve">, </w:t>
      </w:r>
      <w:r>
        <w:t xml:space="preserve">a new ISO CR (CR-003189) </w:t>
      </w:r>
      <w:r w:rsidRPr="00FF0817">
        <w:t>introduce</w:t>
      </w:r>
      <w:r>
        <w:t>d</w:t>
      </w:r>
      <w:r w:rsidRPr="00FF0817">
        <w:t xml:space="preserve"> a structured indicator to flag settlement instructions that must be automatically held until a specific point in time on the requested settlement day (gating event), at which the Securities Financing instructions will be automatically released.</w:t>
      </w:r>
    </w:p>
    <w:p w14:paraId="789B91AD" w14:textId="772076A3" w:rsidR="0048334D" w:rsidRDefault="003C1AE6" w:rsidP="00F23DF6">
      <w:r>
        <w:t xml:space="preserve">The </w:t>
      </w:r>
      <w:r w:rsidR="003D74BC">
        <w:t>requester</w:t>
      </w:r>
      <w:r>
        <w:t xml:space="preserve"> was </w:t>
      </w:r>
      <w:r w:rsidR="0048334D">
        <w:t>SMPG, with the support of Swift Standards.</w:t>
      </w:r>
    </w:p>
    <w:p w14:paraId="54B7D3A2" w14:textId="13DA5FD8" w:rsidR="008E35CF" w:rsidRPr="008E35CF" w:rsidRDefault="008E35CF" w:rsidP="008E35CF">
      <w:r>
        <w:t xml:space="preserve">A new code </w:t>
      </w:r>
      <w:r w:rsidR="005A502F" w:rsidRPr="005A502F">
        <w:t>&lt;Cd&gt;GATE&lt;/Cd&gt;</w:t>
      </w:r>
      <w:r w:rsidR="005A502F">
        <w:t xml:space="preserve"> </w:t>
      </w:r>
      <w:r>
        <w:t xml:space="preserve">was added in the element </w:t>
      </w:r>
      <w:r w:rsidRPr="008E35CF">
        <w:t>&lt;</w:t>
      </w:r>
      <w:proofErr w:type="spellStart"/>
      <w:r w:rsidRPr="008E35CF">
        <w:t>SttlmTxCond</w:t>
      </w:r>
      <w:proofErr w:type="spellEnd"/>
      <w:r w:rsidRPr="008E35CF">
        <w:t xml:space="preserve">&gt; – Settlement Transaction </w:t>
      </w:r>
      <w:r w:rsidR="0048334D" w:rsidRPr="008E35CF">
        <w:t>Condition</w:t>
      </w:r>
      <w:r w:rsidR="0048334D">
        <w:t>:</w:t>
      </w:r>
      <w:r>
        <w:t xml:space="preserve"> </w:t>
      </w:r>
      <w:r w:rsidRPr="008E35CF">
        <w:br/>
        <w:t>GATE</w:t>
      </w:r>
      <w:r>
        <w:t>, standing for ‘</w:t>
      </w:r>
      <w:r w:rsidRPr="008E35CF">
        <w:t>Gating Event participation</w:t>
      </w:r>
      <w:r>
        <w:t>’.</w:t>
      </w:r>
    </w:p>
    <w:p w14:paraId="23603E91" w14:textId="2B3ED34E" w:rsidR="008E35CF" w:rsidRPr="00230E14" w:rsidRDefault="008E35CF" w:rsidP="00F23DF6"/>
    <w:p w14:paraId="28E8249B" w14:textId="3304C407" w:rsidR="00F23DF6" w:rsidRDefault="003D74BC" w:rsidP="00A9056F">
      <w:pPr>
        <w:jc w:val="both"/>
        <w:rPr>
          <w:lang w:val="en-GB"/>
        </w:rPr>
      </w:pPr>
      <w:r>
        <w:rPr>
          <w:lang w:val="en-GB"/>
        </w:rPr>
        <w:lastRenderedPageBreak/>
        <w:t xml:space="preserve">A series of messages were impacted but </w:t>
      </w:r>
      <w:r w:rsidR="0048334D">
        <w:rPr>
          <w:lang w:val="en-GB"/>
        </w:rPr>
        <w:t xml:space="preserve">T2S </w:t>
      </w:r>
      <w:r w:rsidR="00F929C6">
        <w:rPr>
          <w:lang w:val="en-GB"/>
        </w:rPr>
        <w:t xml:space="preserve">registered </w:t>
      </w:r>
      <w:r w:rsidR="0048334D">
        <w:rPr>
          <w:lang w:val="en-GB"/>
        </w:rPr>
        <w:t xml:space="preserve">messages </w:t>
      </w:r>
      <w:r w:rsidR="00F23DF6">
        <w:rPr>
          <w:lang w:val="en-GB"/>
        </w:rPr>
        <w:t xml:space="preserve">semt.026 and semt.027 were not included as both messages </w:t>
      </w:r>
      <w:r w:rsidR="0048334D">
        <w:rPr>
          <w:lang w:val="en-GB"/>
        </w:rPr>
        <w:t>were undergoing registration.</w:t>
      </w:r>
    </w:p>
    <w:p w14:paraId="20B42E6B" w14:textId="47382E31" w:rsidR="00F23DF6" w:rsidRDefault="00F23DF6" w:rsidP="00A9056F">
      <w:pPr>
        <w:jc w:val="both"/>
        <w:rPr>
          <w:lang w:val="en-GB"/>
        </w:rPr>
      </w:pPr>
      <w:r>
        <w:rPr>
          <w:lang w:val="en-GB"/>
        </w:rPr>
        <w:t xml:space="preserve">This ISO CR is </w:t>
      </w:r>
      <w:r w:rsidR="0048334D">
        <w:rPr>
          <w:lang w:val="en-GB"/>
        </w:rPr>
        <w:t xml:space="preserve">requesting </w:t>
      </w:r>
      <w:r>
        <w:rPr>
          <w:lang w:val="en-GB"/>
        </w:rPr>
        <w:t xml:space="preserve">to add the </w:t>
      </w:r>
      <w:r w:rsidRPr="00F23DF6">
        <w:rPr>
          <w:lang w:val="en-GB"/>
        </w:rPr>
        <w:t>equivalent ISO 20022 element to represent the Gating Event condition</w:t>
      </w:r>
      <w:r>
        <w:rPr>
          <w:lang w:val="en-GB"/>
        </w:rPr>
        <w:t xml:space="preserve"> </w:t>
      </w:r>
      <w:r w:rsidR="001807C9">
        <w:rPr>
          <w:lang w:val="en-GB"/>
        </w:rPr>
        <w:t xml:space="preserve">code </w:t>
      </w:r>
      <w:r>
        <w:rPr>
          <w:lang w:val="en-GB"/>
        </w:rPr>
        <w:t>also in</w:t>
      </w:r>
      <w:r w:rsidR="00106012">
        <w:rPr>
          <w:lang w:val="en-GB"/>
        </w:rPr>
        <w:t xml:space="preserve"> T2S</w:t>
      </w:r>
      <w:r>
        <w:rPr>
          <w:lang w:val="en-GB"/>
        </w:rPr>
        <w:t xml:space="preserve"> </w:t>
      </w:r>
      <w:r w:rsidR="00106012">
        <w:rPr>
          <w:lang w:val="en-GB"/>
        </w:rPr>
        <w:t xml:space="preserve">registered messages </w:t>
      </w:r>
      <w:r>
        <w:rPr>
          <w:lang w:val="en-GB"/>
        </w:rPr>
        <w:t>semt.026 and semt.027.</w:t>
      </w:r>
    </w:p>
    <w:p w14:paraId="1450B220" w14:textId="41F3AC98" w:rsidR="00F23DF6" w:rsidRDefault="00AF0827" w:rsidP="00CC0D0E">
      <w:pPr>
        <w:jc w:val="both"/>
        <w:rPr>
          <w:lang w:val="en-GB"/>
        </w:rPr>
      </w:pPr>
      <w:r>
        <w:t>In this regard, two changes seem necessary</w:t>
      </w:r>
      <w:r w:rsidR="00F929C6">
        <w:t xml:space="preserve"> to make the </w:t>
      </w:r>
      <w:proofErr w:type="gramStart"/>
      <w:r w:rsidR="00F929C6">
        <w:t>schema</w:t>
      </w:r>
      <w:proofErr w:type="gramEnd"/>
      <w:r w:rsidR="00F929C6">
        <w:t xml:space="preserve"> of </w:t>
      </w:r>
      <w:r w:rsidR="00F929C6">
        <w:rPr>
          <w:lang w:val="en-GB"/>
        </w:rPr>
        <w:t>semt.026 and semt.027 registered messages</w:t>
      </w:r>
      <w:r w:rsidR="00F929C6" w:rsidRPr="00F929C6">
        <w:t xml:space="preserve"> </w:t>
      </w:r>
      <w:r w:rsidR="00F929C6" w:rsidRPr="00F929C6">
        <w:rPr>
          <w:lang w:val="en-GB"/>
        </w:rPr>
        <w:t>compliant with the ones already updated regarding the Gating event condition code:</w:t>
      </w:r>
    </w:p>
    <w:p w14:paraId="21E67C29" w14:textId="1F18EB4F" w:rsidR="00CC0D0E" w:rsidRPr="00CC0D0E" w:rsidRDefault="00CC0D0E" w:rsidP="00CC0D0E">
      <w:pPr>
        <w:pStyle w:val="ListParagraph"/>
        <w:numPr>
          <w:ilvl w:val="0"/>
          <w:numId w:val="24"/>
        </w:numPr>
        <w:jc w:val="both"/>
        <w:rPr>
          <w:rFonts w:ascii="Times New Roman" w:hAnsi="Times New Roman"/>
          <w:b/>
          <w:bCs/>
          <w:sz w:val="24"/>
          <w:szCs w:val="24"/>
        </w:rPr>
      </w:pPr>
      <w:r w:rsidRPr="00CC0D0E">
        <w:rPr>
          <w:rFonts w:ascii="Times New Roman" w:hAnsi="Times New Roman"/>
          <w:b/>
          <w:bCs/>
          <w:sz w:val="24"/>
          <w:szCs w:val="24"/>
        </w:rPr>
        <w:t>Removal of element &lt;</w:t>
      </w:r>
      <w:proofErr w:type="spellStart"/>
      <w:r w:rsidRPr="00CC0D0E">
        <w:rPr>
          <w:rFonts w:ascii="Times New Roman" w:hAnsi="Times New Roman"/>
          <w:b/>
          <w:bCs/>
          <w:sz w:val="24"/>
          <w:szCs w:val="24"/>
        </w:rPr>
        <w:t>SctiesTxCond</w:t>
      </w:r>
      <w:proofErr w:type="spellEnd"/>
      <w:r w:rsidRPr="00CC0D0E">
        <w:rPr>
          <w:rFonts w:ascii="Times New Roman" w:hAnsi="Times New Roman"/>
          <w:b/>
          <w:bCs/>
          <w:sz w:val="24"/>
          <w:szCs w:val="24"/>
        </w:rPr>
        <w:t>&gt; from T2S semt.026 registered message</w:t>
      </w:r>
    </w:p>
    <w:p w14:paraId="15483F38" w14:textId="560C53F6" w:rsidR="00F929C6" w:rsidRDefault="00CC0D0E" w:rsidP="00CC0D0E">
      <w:pPr>
        <w:jc w:val="both"/>
        <w:rPr>
          <w:lang w:val="en-GB"/>
        </w:rPr>
      </w:pPr>
      <w:r w:rsidRPr="00CC0D0E">
        <w:rPr>
          <w:lang w:val="en-GB"/>
        </w:rPr>
        <w:t>For harmonization purposes, the element Securities Transaction Condition - &lt;</w:t>
      </w:r>
      <w:proofErr w:type="spellStart"/>
      <w:r w:rsidRPr="00CC0D0E">
        <w:rPr>
          <w:lang w:val="en-GB"/>
        </w:rPr>
        <w:t>SctiesTxCond</w:t>
      </w:r>
      <w:proofErr w:type="spellEnd"/>
      <w:r w:rsidRPr="00CC0D0E">
        <w:rPr>
          <w:lang w:val="en-GB"/>
        </w:rPr>
        <w:t xml:space="preserve">&gt; </w:t>
      </w:r>
      <w:r w:rsidR="00EF66E7">
        <w:rPr>
          <w:lang w:val="en-GB"/>
        </w:rPr>
        <w:t>need to</w:t>
      </w:r>
      <w:r w:rsidRPr="00CC0D0E">
        <w:rPr>
          <w:lang w:val="en-GB"/>
        </w:rPr>
        <w:t xml:space="preserve"> be replaced with the element Settlement Transaction Condition - &lt;</w:t>
      </w:r>
      <w:proofErr w:type="spellStart"/>
      <w:r w:rsidRPr="00CC0D0E">
        <w:rPr>
          <w:lang w:val="en-GB"/>
        </w:rPr>
        <w:t>SttlmTxCond</w:t>
      </w:r>
      <w:proofErr w:type="spellEnd"/>
      <w:r w:rsidRPr="00CC0D0E">
        <w:rPr>
          <w:lang w:val="en-GB"/>
        </w:rPr>
        <w:t>&gt;</w:t>
      </w:r>
      <w:r w:rsidR="00A3435F">
        <w:rPr>
          <w:lang w:val="en-GB"/>
        </w:rPr>
        <w:t xml:space="preserve"> and all its nested element (</w:t>
      </w:r>
      <w:r w:rsidR="00A3435F" w:rsidRPr="00CC0D0E">
        <w:rPr>
          <w:lang w:val="en-GB"/>
        </w:rPr>
        <w:t>&lt;Cd&gt; and &lt;</w:t>
      </w:r>
      <w:proofErr w:type="spellStart"/>
      <w:r w:rsidR="00A3435F" w:rsidRPr="00CC0D0E">
        <w:rPr>
          <w:lang w:val="en-GB"/>
        </w:rPr>
        <w:t>Prtry</w:t>
      </w:r>
      <w:proofErr w:type="spellEnd"/>
      <w:r w:rsidR="00A3435F" w:rsidRPr="00CC0D0E">
        <w:rPr>
          <w:lang w:val="en-GB"/>
        </w:rPr>
        <w:t>&gt;)</w:t>
      </w:r>
      <w:r w:rsidRPr="00CC0D0E">
        <w:rPr>
          <w:lang w:val="en-GB"/>
        </w:rPr>
        <w:t xml:space="preserve">. </w:t>
      </w:r>
      <w:r w:rsidR="005379ED">
        <w:rPr>
          <w:lang w:val="en-GB"/>
        </w:rPr>
        <w:t>As a</w:t>
      </w:r>
      <w:r w:rsidRPr="00CC0D0E">
        <w:rPr>
          <w:lang w:val="en-GB"/>
        </w:rPr>
        <w:t xml:space="preserve"> result</w:t>
      </w:r>
      <w:r w:rsidR="005379ED">
        <w:rPr>
          <w:lang w:val="en-GB"/>
        </w:rPr>
        <w:t>, the</w:t>
      </w:r>
      <w:r w:rsidRPr="00CC0D0E">
        <w:rPr>
          <w:lang w:val="en-GB"/>
        </w:rPr>
        <w:t xml:space="preserve"> element &lt;</w:t>
      </w:r>
      <w:proofErr w:type="spellStart"/>
      <w:r w:rsidRPr="00CC0D0E">
        <w:rPr>
          <w:lang w:val="en-GB"/>
        </w:rPr>
        <w:t>SctiesTxCond</w:t>
      </w:r>
      <w:proofErr w:type="spellEnd"/>
      <w:r w:rsidRPr="00CC0D0E">
        <w:rPr>
          <w:lang w:val="en-GB"/>
        </w:rPr>
        <w:t xml:space="preserve">&gt; </w:t>
      </w:r>
      <w:r w:rsidR="005379ED">
        <w:rPr>
          <w:lang w:val="en-GB"/>
        </w:rPr>
        <w:t xml:space="preserve">is removed </w:t>
      </w:r>
      <w:r w:rsidRPr="00CC0D0E">
        <w:rPr>
          <w:lang w:val="en-GB"/>
        </w:rPr>
        <w:t>and all its nested elements (&lt;Cd&gt; and &lt;</w:t>
      </w:r>
      <w:proofErr w:type="spellStart"/>
      <w:r w:rsidRPr="00CC0D0E">
        <w:rPr>
          <w:lang w:val="en-GB"/>
        </w:rPr>
        <w:t>Prtry</w:t>
      </w:r>
      <w:proofErr w:type="spellEnd"/>
      <w:r w:rsidRPr="00CC0D0E">
        <w:rPr>
          <w:lang w:val="en-GB"/>
        </w:rPr>
        <w:t>&gt;). New XML path is</w:t>
      </w:r>
      <w:r>
        <w:rPr>
          <w:lang w:val="en-GB"/>
        </w:rPr>
        <w:t xml:space="preserve"> </w:t>
      </w:r>
      <w:r w:rsidRPr="00CC0D0E">
        <w:rPr>
          <w:lang w:val="en-GB"/>
        </w:rPr>
        <w:t>/Document/</w:t>
      </w:r>
      <w:proofErr w:type="spellStart"/>
      <w:r w:rsidRPr="00CC0D0E">
        <w:rPr>
          <w:lang w:val="en-GB"/>
        </w:rPr>
        <w:t>SctiesSttlmTxQry</w:t>
      </w:r>
      <w:proofErr w:type="spellEnd"/>
      <w:r w:rsidRPr="00CC0D0E">
        <w:rPr>
          <w:lang w:val="en-GB"/>
        </w:rPr>
        <w:t>/</w:t>
      </w:r>
      <w:proofErr w:type="spellStart"/>
      <w:r w:rsidRPr="00CC0D0E">
        <w:rPr>
          <w:lang w:val="en-GB"/>
        </w:rPr>
        <w:t>QryDef</w:t>
      </w:r>
      <w:proofErr w:type="spellEnd"/>
      <w:r w:rsidRPr="00CC0D0E">
        <w:rPr>
          <w:lang w:val="en-GB"/>
        </w:rPr>
        <w:t>/</w:t>
      </w:r>
      <w:proofErr w:type="spellStart"/>
      <w:r w:rsidRPr="00CC0D0E">
        <w:rPr>
          <w:lang w:val="en-GB"/>
        </w:rPr>
        <w:t>SchCrit</w:t>
      </w:r>
      <w:proofErr w:type="spellEnd"/>
      <w:r w:rsidRPr="00CC0D0E">
        <w:rPr>
          <w:lang w:val="en-GB"/>
        </w:rPr>
        <w:t>/</w:t>
      </w:r>
      <w:proofErr w:type="spellStart"/>
      <w:r w:rsidRPr="00CC0D0E">
        <w:rPr>
          <w:lang w:val="en-GB"/>
        </w:rPr>
        <w:t>SttlmTxCond</w:t>
      </w:r>
      <w:proofErr w:type="spellEnd"/>
    </w:p>
    <w:p w14:paraId="56E53D00" w14:textId="77777777" w:rsidR="00AF0827" w:rsidRPr="00EF66E7" w:rsidRDefault="00AF0827" w:rsidP="00F23DF6">
      <w:pPr>
        <w:rPr>
          <w:lang w:val="en-GB"/>
        </w:rPr>
      </w:pPr>
    </w:p>
    <w:tbl>
      <w:tblPr>
        <w:tblStyle w:val="TableGrid"/>
        <w:tblW w:w="8506" w:type="dxa"/>
        <w:tblLook w:val="04A0" w:firstRow="1" w:lastRow="0" w:firstColumn="1" w:lastColumn="0" w:noHBand="0" w:noVBand="1"/>
      </w:tblPr>
      <w:tblGrid>
        <w:gridCol w:w="1358"/>
        <w:gridCol w:w="3820"/>
        <w:gridCol w:w="3790"/>
      </w:tblGrid>
      <w:tr w:rsidR="00B662BE" w:rsidRPr="0097518B" w14:paraId="10325759" w14:textId="77777777" w:rsidTr="0097518B">
        <w:trPr>
          <w:trHeight w:val="676"/>
        </w:trPr>
        <w:tc>
          <w:tcPr>
            <w:tcW w:w="1259" w:type="dxa"/>
          </w:tcPr>
          <w:p w14:paraId="5785060B" w14:textId="486107C8" w:rsidR="00887436" w:rsidRPr="00C3521F" w:rsidRDefault="00887436" w:rsidP="00F23DF6">
            <w:pPr>
              <w:rPr>
                <w:b/>
                <w:bCs/>
                <w:sz w:val="18"/>
                <w:szCs w:val="18"/>
                <w:u w:val="single"/>
                <w:lang w:val="fr-FR"/>
              </w:rPr>
            </w:pPr>
            <w:proofErr w:type="spellStart"/>
            <w:r w:rsidRPr="00C3521F">
              <w:rPr>
                <w:b/>
                <w:bCs/>
                <w:sz w:val="18"/>
                <w:szCs w:val="18"/>
                <w:u w:val="single"/>
                <w:lang w:val="fr-FR"/>
              </w:rPr>
              <w:t>Element</w:t>
            </w:r>
            <w:proofErr w:type="spellEnd"/>
          </w:p>
        </w:tc>
        <w:tc>
          <w:tcPr>
            <w:tcW w:w="3638" w:type="dxa"/>
          </w:tcPr>
          <w:p w14:paraId="2545C61D" w14:textId="6E2F4C07" w:rsidR="00887436" w:rsidRPr="00C3521F" w:rsidRDefault="00887436" w:rsidP="00F23DF6">
            <w:pPr>
              <w:rPr>
                <w:b/>
                <w:bCs/>
                <w:sz w:val="18"/>
                <w:szCs w:val="18"/>
                <w:u w:val="single"/>
                <w:lang w:val="fr-FR"/>
              </w:rPr>
            </w:pPr>
            <w:r w:rsidRPr="00C3521F">
              <w:rPr>
                <w:b/>
                <w:bCs/>
                <w:sz w:val="18"/>
                <w:szCs w:val="18"/>
                <w:u w:val="single"/>
                <w:lang w:val="fr-FR"/>
              </w:rPr>
              <w:t>Old XML-Path</w:t>
            </w:r>
          </w:p>
        </w:tc>
        <w:tc>
          <w:tcPr>
            <w:tcW w:w="3609" w:type="dxa"/>
          </w:tcPr>
          <w:p w14:paraId="00CE1284" w14:textId="02A5FE90" w:rsidR="00887436" w:rsidRPr="00C3521F" w:rsidRDefault="00887436" w:rsidP="00F23DF6">
            <w:pPr>
              <w:rPr>
                <w:b/>
                <w:bCs/>
                <w:sz w:val="18"/>
                <w:szCs w:val="18"/>
                <w:u w:val="single"/>
                <w:lang w:val="fr-FR"/>
              </w:rPr>
            </w:pPr>
            <w:r w:rsidRPr="00C3521F">
              <w:rPr>
                <w:b/>
                <w:bCs/>
                <w:sz w:val="18"/>
                <w:szCs w:val="18"/>
                <w:u w:val="single"/>
                <w:lang w:val="fr-FR"/>
              </w:rPr>
              <w:t>New XML-Path</w:t>
            </w:r>
          </w:p>
        </w:tc>
      </w:tr>
      <w:tr w:rsidR="00B662BE" w:rsidRPr="005C7881" w14:paraId="5915EB62" w14:textId="77777777" w:rsidTr="0097518B">
        <w:trPr>
          <w:trHeight w:val="676"/>
        </w:trPr>
        <w:tc>
          <w:tcPr>
            <w:tcW w:w="1259" w:type="dxa"/>
          </w:tcPr>
          <w:p w14:paraId="7C505279" w14:textId="33C6A378" w:rsidR="00887436" w:rsidRPr="00C3521F" w:rsidRDefault="0097518B" w:rsidP="0097518B">
            <w:pPr>
              <w:rPr>
                <w:sz w:val="18"/>
                <w:szCs w:val="18"/>
                <w:lang w:val="fr-FR"/>
              </w:rPr>
            </w:pPr>
            <w:r w:rsidRPr="00C3521F">
              <w:rPr>
                <w:sz w:val="18"/>
                <w:szCs w:val="18"/>
                <w:lang w:val="en-GB"/>
              </w:rPr>
              <w:t>Settlement Transaction Condition</w:t>
            </w:r>
          </w:p>
        </w:tc>
        <w:tc>
          <w:tcPr>
            <w:tcW w:w="3638" w:type="dxa"/>
          </w:tcPr>
          <w:p w14:paraId="3078F381" w14:textId="70D03FF6" w:rsidR="00887436" w:rsidRPr="00C3521F" w:rsidRDefault="00887436" w:rsidP="00F23DF6">
            <w:pPr>
              <w:rPr>
                <w:sz w:val="18"/>
                <w:szCs w:val="18"/>
                <w:lang w:val="fr-FR"/>
              </w:rPr>
            </w:pPr>
            <w:r w:rsidRPr="00C3521F">
              <w:rPr>
                <w:sz w:val="18"/>
                <w:szCs w:val="18"/>
                <w:lang w:val="fr-FR"/>
              </w:rPr>
              <w:t>/Document/</w:t>
            </w:r>
            <w:proofErr w:type="spellStart"/>
            <w:r w:rsidRPr="00C3521F">
              <w:rPr>
                <w:sz w:val="18"/>
                <w:szCs w:val="18"/>
                <w:lang w:val="fr-FR"/>
              </w:rPr>
              <w:t>SctiesSttlmTxQry</w:t>
            </w:r>
            <w:proofErr w:type="spellEnd"/>
            <w:r w:rsidRPr="00C3521F">
              <w:rPr>
                <w:sz w:val="18"/>
                <w:szCs w:val="18"/>
                <w:lang w:val="fr-FR"/>
              </w:rPr>
              <w:t>/</w:t>
            </w:r>
            <w:proofErr w:type="spellStart"/>
            <w:r w:rsidRPr="00C3521F">
              <w:rPr>
                <w:sz w:val="18"/>
                <w:szCs w:val="18"/>
                <w:lang w:val="fr-FR"/>
              </w:rPr>
              <w:t>QryDef</w:t>
            </w:r>
            <w:proofErr w:type="spellEnd"/>
            <w:r w:rsidRPr="00C3521F">
              <w:rPr>
                <w:sz w:val="18"/>
                <w:szCs w:val="18"/>
                <w:lang w:val="fr-FR"/>
              </w:rPr>
              <w:t>/</w:t>
            </w:r>
            <w:proofErr w:type="spellStart"/>
            <w:r w:rsidRPr="00C3521F">
              <w:rPr>
                <w:sz w:val="18"/>
                <w:szCs w:val="18"/>
                <w:lang w:val="fr-FR"/>
              </w:rPr>
              <w:t>SchCrit</w:t>
            </w:r>
            <w:proofErr w:type="spellEnd"/>
            <w:r w:rsidRPr="00C3521F">
              <w:rPr>
                <w:sz w:val="18"/>
                <w:szCs w:val="18"/>
                <w:lang w:val="fr-FR"/>
              </w:rPr>
              <w:t>/</w:t>
            </w:r>
            <w:proofErr w:type="spellStart"/>
            <w:r w:rsidRPr="00C3521F">
              <w:rPr>
                <w:sz w:val="18"/>
                <w:szCs w:val="18"/>
                <w:lang w:val="fr-FR"/>
              </w:rPr>
              <w:t>SctiesTxCond</w:t>
            </w:r>
            <w:proofErr w:type="spellEnd"/>
          </w:p>
        </w:tc>
        <w:tc>
          <w:tcPr>
            <w:tcW w:w="3609" w:type="dxa"/>
          </w:tcPr>
          <w:p w14:paraId="2B2265F8" w14:textId="5D22EEE2" w:rsidR="00887436" w:rsidRPr="00C3521F" w:rsidRDefault="00887436" w:rsidP="00F23DF6">
            <w:pPr>
              <w:rPr>
                <w:sz w:val="18"/>
                <w:szCs w:val="18"/>
                <w:lang w:val="fr-FR"/>
              </w:rPr>
            </w:pPr>
            <w:r w:rsidRPr="00C3521F">
              <w:rPr>
                <w:sz w:val="18"/>
                <w:szCs w:val="18"/>
                <w:lang w:val="fr-FR"/>
              </w:rPr>
              <w:t>/Document/</w:t>
            </w:r>
            <w:proofErr w:type="spellStart"/>
            <w:r w:rsidRPr="00C3521F">
              <w:rPr>
                <w:sz w:val="18"/>
                <w:szCs w:val="18"/>
                <w:lang w:val="fr-FR"/>
              </w:rPr>
              <w:t>SctiesSttlmTxQry</w:t>
            </w:r>
            <w:proofErr w:type="spellEnd"/>
            <w:r w:rsidRPr="00C3521F">
              <w:rPr>
                <w:sz w:val="18"/>
                <w:szCs w:val="18"/>
                <w:lang w:val="fr-FR"/>
              </w:rPr>
              <w:t>/</w:t>
            </w:r>
            <w:proofErr w:type="spellStart"/>
            <w:r w:rsidRPr="00C3521F">
              <w:rPr>
                <w:sz w:val="18"/>
                <w:szCs w:val="18"/>
                <w:lang w:val="fr-FR"/>
              </w:rPr>
              <w:t>QryDef</w:t>
            </w:r>
            <w:proofErr w:type="spellEnd"/>
            <w:r w:rsidRPr="00C3521F">
              <w:rPr>
                <w:sz w:val="18"/>
                <w:szCs w:val="18"/>
                <w:lang w:val="fr-FR"/>
              </w:rPr>
              <w:t>/</w:t>
            </w:r>
            <w:proofErr w:type="spellStart"/>
            <w:r w:rsidRPr="00C3521F">
              <w:rPr>
                <w:sz w:val="18"/>
                <w:szCs w:val="18"/>
                <w:lang w:val="fr-FR"/>
              </w:rPr>
              <w:t>SchCrit</w:t>
            </w:r>
            <w:proofErr w:type="spellEnd"/>
            <w:r w:rsidRPr="00C3521F">
              <w:rPr>
                <w:sz w:val="18"/>
                <w:szCs w:val="18"/>
                <w:lang w:val="fr-FR"/>
              </w:rPr>
              <w:t>/</w:t>
            </w:r>
            <w:proofErr w:type="spellStart"/>
            <w:r w:rsidRPr="00C3521F">
              <w:rPr>
                <w:sz w:val="18"/>
                <w:szCs w:val="18"/>
                <w:lang w:val="fr-FR"/>
              </w:rPr>
              <w:t>SttlmTxCond</w:t>
            </w:r>
            <w:proofErr w:type="spellEnd"/>
          </w:p>
        </w:tc>
      </w:tr>
      <w:tr w:rsidR="00B662BE" w:rsidRPr="005C7881" w14:paraId="23771934" w14:textId="77777777" w:rsidTr="0097518B">
        <w:trPr>
          <w:trHeight w:val="676"/>
        </w:trPr>
        <w:tc>
          <w:tcPr>
            <w:tcW w:w="1259" w:type="dxa"/>
          </w:tcPr>
          <w:p w14:paraId="0451FE2B" w14:textId="53D30683" w:rsidR="00887436" w:rsidRPr="00C3521F" w:rsidRDefault="0097518B" w:rsidP="00C3521F">
            <w:pPr>
              <w:ind w:left="720"/>
              <w:rPr>
                <w:sz w:val="18"/>
                <w:szCs w:val="18"/>
                <w:lang w:val="fr-FR"/>
              </w:rPr>
            </w:pPr>
            <w:r w:rsidRPr="00C3521F">
              <w:rPr>
                <w:sz w:val="18"/>
                <w:szCs w:val="18"/>
                <w:lang w:val="fr-FR"/>
              </w:rPr>
              <w:t>Code</w:t>
            </w:r>
          </w:p>
        </w:tc>
        <w:tc>
          <w:tcPr>
            <w:tcW w:w="3638" w:type="dxa"/>
          </w:tcPr>
          <w:p w14:paraId="58905D89" w14:textId="4409FC3D" w:rsidR="00887436" w:rsidRPr="00C3521F" w:rsidRDefault="0097518B" w:rsidP="00F23DF6">
            <w:pPr>
              <w:rPr>
                <w:sz w:val="18"/>
                <w:szCs w:val="18"/>
                <w:lang w:val="fr-FR"/>
              </w:rPr>
            </w:pPr>
            <w:r w:rsidRPr="00C3521F">
              <w:rPr>
                <w:sz w:val="18"/>
                <w:szCs w:val="18"/>
                <w:lang w:val="fr-FR"/>
              </w:rPr>
              <w:t>/Document/</w:t>
            </w:r>
            <w:proofErr w:type="spellStart"/>
            <w:r w:rsidRPr="00C3521F">
              <w:rPr>
                <w:sz w:val="18"/>
                <w:szCs w:val="18"/>
                <w:lang w:val="fr-FR"/>
              </w:rPr>
              <w:t>SctiesSttlmTxQry</w:t>
            </w:r>
            <w:proofErr w:type="spellEnd"/>
            <w:r w:rsidRPr="00C3521F">
              <w:rPr>
                <w:sz w:val="18"/>
                <w:szCs w:val="18"/>
                <w:lang w:val="fr-FR"/>
              </w:rPr>
              <w:t>/</w:t>
            </w:r>
            <w:proofErr w:type="spellStart"/>
            <w:r w:rsidRPr="00C3521F">
              <w:rPr>
                <w:sz w:val="18"/>
                <w:szCs w:val="18"/>
                <w:lang w:val="fr-FR"/>
              </w:rPr>
              <w:t>QryDef</w:t>
            </w:r>
            <w:proofErr w:type="spellEnd"/>
            <w:r w:rsidRPr="00C3521F">
              <w:rPr>
                <w:sz w:val="18"/>
                <w:szCs w:val="18"/>
                <w:lang w:val="fr-FR"/>
              </w:rPr>
              <w:t>/</w:t>
            </w:r>
            <w:proofErr w:type="spellStart"/>
            <w:r w:rsidRPr="00C3521F">
              <w:rPr>
                <w:sz w:val="18"/>
                <w:szCs w:val="18"/>
                <w:lang w:val="fr-FR"/>
              </w:rPr>
              <w:t>SchCrit</w:t>
            </w:r>
            <w:proofErr w:type="spellEnd"/>
            <w:r w:rsidRPr="00C3521F">
              <w:rPr>
                <w:sz w:val="18"/>
                <w:szCs w:val="18"/>
                <w:lang w:val="fr-FR"/>
              </w:rPr>
              <w:t>/</w:t>
            </w:r>
            <w:proofErr w:type="spellStart"/>
            <w:r w:rsidRPr="00C3521F">
              <w:rPr>
                <w:sz w:val="18"/>
                <w:szCs w:val="18"/>
                <w:lang w:val="fr-FR"/>
              </w:rPr>
              <w:t>SctiesTxCond</w:t>
            </w:r>
            <w:proofErr w:type="spellEnd"/>
            <w:r w:rsidRPr="00C3521F">
              <w:rPr>
                <w:sz w:val="18"/>
                <w:szCs w:val="18"/>
                <w:lang w:val="fr-FR"/>
              </w:rPr>
              <w:t>/Cd</w:t>
            </w:r>
          </w:p>
        </w:tc>
        <w:tc>
          <w:tcPr>
            <w:tcW w:w="3609" w:type="dxa"/>
          </w:tcPr>
          <w:p w14:paraId="3561272A" w14:textId="112FA793" w:rsidR="00887436" w:rsidRPr="00C3521F" w:rsidRDefault="0097518B" w:rsidP="00F23DF6">
            <w:pPr>
              <w:rPr>
                <w:sz w:val="18"/>
                <w:szCs w:val="18"/>
                <w:lang w:val="fr-FR"/>
              </w:rPr>
            </w:pPr>
            <w:r w:rsidRPr="00C3521F">
              <w:rPr>
                <w:sz w:val="18"/>
                <w:szCs w:val="18"/>
                <w:lang w:val="fr-FR"/>
              </w:rPr>
              <w:t>/Document/</w:t>
            </w:r>
            <w:proofErr w:type="spellStart"/>
            <w:r w:rsidRPr="00C3521F">
              <w:rPr>
                <w:sz w:val="18"/>
                <w:szCs w:val="18"/>
                <w:lang w:val="fr-FR"/>
              </w:rPr>
              <w:t>SctiesSttlmTxQry</w:t>
            </w:r>
            <w:proofErr w:type="spellEnd"/>
            <w:r w:rsidRPr="00C3521F">
              <w:rPr>
                <w:sz w:val="18"/>
                <w:szCs w:val="18"/>
                <w:lang w:val="fr-FR"/>
              </w:rPr>
              <w:t>/</w:t>
            </w:r>
            <w:proofErr w:type="spellStart"/>
            <w:r w:rsidRPr="00C3521F">
              <w:rPr>
                <w:sz w:val="18"/>
                <w:szCs w:val="18"/>
                <w:lang w:val="fr-FR"/>
              </w:rPr>
              <w:t>QryDef</w:t>
            </w:r>
            <w:proofErr w:type="spellEnd"/>
            <w:r w:rsidRPr="00C3521F">
              <w:rPr>
                <w:sz w:val="18"/>
                <w:szCs w:val="18"/>
                <w:lang w:val="fr-FR"/>
              </w:rPr>
              <w:t>/</w:t>
            </w:r>
            <w:proofErr w:type="spellStart"/>
            <w:r w:rsidRPr="00C3521F">
              <w:rPr>
                <w:sz w:val="18"/>
                <w:szCs w:val="18"/>
                <w:lang w:val="fr-FR"/>
              </w:rPr>
              <w:t>SchCrit</w:t>
            </w:r>
            <w:proofErr w:type="spellEnd"/>
            <w:r w:rsidRPr="00C3521F">
              <w:rPr>
                <w:sz w:val="18"/>
                <w:szCs w:val="18"/>
                <w:lang w:val="fr-FR"/>
              </w:rPr>
              <w:t>/</w:t>
            </w:r>
            <w:proofErr w:type="spellStart"/>
            <w:r w:rsidRPr="00C3521F">
              <w:rPr>
                <w:sz w:val="18"/>
                <w:szCs w:val="18"/>
                <w:lang w:val="fr-FR"/>
              </w:rPr>
              <w:t>SttlmTxCond</w:t>
            </w:r>
            <w:proofErr w:type="spellEnd"/>
            <w:r w:rsidRPr="00C3521F">
              <w:rPr>
                <w:sz w:val="18"/>
                <w:szCs w:val="18"/>
                <w:lang w:val="fr-FR"/>
              </w:rPr>
              <w:t>/Cd</w:t>
            </w:r>
          </w:p>
        </w:tc>
      </w:tr>
      <w:tr w:rsidR="00B662BE" w:rsidRPr="005C7881" w14:paraId="531829BF" w14:textId="77777777" w:rsidTr="0097518B">
        <w:trPr>
          <w:trHeight w:val="676"/>
        </w:trPr>
        <w:tc>
          <w:tcPr>
            <w:tcW w:w="1259" w:type="dxa"/>
          </w:tcPr>
          <w:p w14:paraId="01512664" w14:textId="008CF4DF" w:rsidR="00887436" w:rsidRPr="00C3521F" w:rsidRDefault="0097518B" w:rsidP="00C3521F">
            <w:pPr>
              <w:ind w:left="720"/>
              <w:rPr>
                <w:sz w:val="18"/>
                <w:szCs w:val="18"/>
                <w:lang w:val="fr-FR"/>
              </w:rPr>
            </w:pPr>
            <w:proofErr w:type="spellStart"/>
            <w:r w:rsidRPr="00C3521F">
              <w:rPr>
                <w:sz w:val="18"/>
                <w:szCs w:val="18"/>
                <w:lang w:val="fr-FR"/>
              </w:rPr>
              <w:t>Proprietary</w:t>
            </w:r>
            <w:proofErr w:type="spellEnd"/>
          </w:p>
        </w:tc>
        <w:tc>
          <w:tcPr>
            <w:tcW w:w="3638" w:type="dxa"/>
          </w:tcPr>
          <w:p w14:paraId="213A8766" w14:textId="42AAB277" w:rsidR="00887436" w:rsidRPr="00C3521F" w:rsidRDefault="0097518B" w:rsidP="00F23DF6">
            <w:pPr>
              <w:rPr>
                <w:sz w:val="18"/>
                <w:szCs w:val="18"/>
                <w:lang w:val="fr-FR"/>
              </w:rPr>
            </w:pPr>
            <w:r w:rsidRPr="00C3521F">
              <w:rPr>
                <w:sz w:val="18"/>
                <w:szCs w:val="18"/>
                <w:lang w:val="fr-FR"/>
              </w:rPr>
              <w:t>/Document/</w:t>
            </w:r>
            <w:proofErr w:type="spellStart"/>
            <w:r w:rsidRPr="00C3521F">
              <w:rPr>
                <w:sz w:val="18"/>
                <w:szCs w:val="18"/>
                <w:lang w:val="fr-FR"/>
              </w:rPr>
              <w:t>SctiesSttlmTxQry</w:t>
            </w:r>
            <w:proofErr w:type="spellEnd"/>
            <w:r w:rsidRPr="00C3521F">
              <w:rPr>
                <w:sz w:val="18"/>
                <w:szCs w:val="18"/>
                <w:lang w:val="fr-FR"/>
              </w:rPr>
              <w:t>/</w:t>
            </w:r>
            <w:proofErr w:type="spellStart"/>
            <w:r w:rsidRPr="00C3521F">
              <w:rPr>
                <w:sz w:val="18"/>
                <w:szCs w:val="18"/>
                <w:lang w:val="fr-FR"/>
              </w:rPr>
              <w:t>QryDef</w:t>
            </w:r>
            <w:proofErr w:type="spellEnd"/>
            <w:r w:rsidRPr="00C3521F">
              <w:rPr>
                <w:sz w:val="18"/>
                <w:szCs w:val="18"/>
                <w:lang w:val="fr-FR"/>
              </w:rPr>
              <w:t>/</w:t>
            </w:r>
            <w:proofErr w:type="spellStart"/>
            <w:r w:rsidRPr="00C3521F">
              <w:rPr>
                <w:sz w:val="18"/>
                <w:szCs w:val="18"/>
                <w:lang w:val="fr-FR"/>
              </w:rPr>
              <w:t>SchCrit</w:t>
            </w:r>
            <w:proofErr w:type="spellEnd"/>
            <w:r w:rsidRPr="00C3521F">
              <w:rPr>
                <w:sz w:val="18"/>
                <w:szCs w:val="18"/>
                <w:lang w:val="fr-FR"/>
              </w:rPr>
              <w:t>/</w:t>
            </w:r>
            <w:proofErr w:type="spellStart"/>
            <w:r w:rsidRPr="00C3521F">
              <w:rPr>
                <w:sz w:val="18"/>
                <w:szCs w:val="18"/>
                <w:lang w:val="fr-FR"/>
              </w:rPr>
              <w:t>SctiesTxCond</w:t>
            </w:r>
            <w:proofErr w:type="spellEnd"/>
            <w:r w:rsidRPr="00C3521F">
              <w:rPr>
                <w:sz w:val="18"/>
                <w:szCs w:val="18"/>
                <w:lang w:val="fr-FR"/>
              </w:rPr>
              <w:t>/</w:t>
            </w:r>
            <w:proofErr w:type="spellStart"/>
            <w:r w:rsidRPr="00C3521F">
              <w:rPr>
                <w:sz w:val="18"/>
                <w:szCs w:val="18"/>
                <w:lang w:val="fr-FR"/>
              </w:rPr>
              <w:t>Prtry</w:t>
            </w:r>
            <w:proofErr w:type="spellEnd"/>
          </w:p>
        </w:tc>
        <w:tc>
          <w:tcPr>
            <w:tcW w:w="3609" w:type="dxa"/>
          </w:tcPr>
          <w:p w14:paraId="5D6908F4" w14:textId="08751DA6" w:rsidR="00887436" w:rsidRPr="00C3521F" w:rsidRDefault="0097518B" w:rsidP="00F23DF6">
            <w:pPr>
              <w:rPr>
                <w:sz w:val="18"/>
                <w:szCs w:val="18"/>
                <w:lang w:val="fr-FR"/>
              </w:rPr>
            </w:pPr>
            <w:r w:rsidRPr="00C3521F">
              <w:rPr>
                <w:sz w:val="18"/>
                <w:szCs w:val="18"/>
                <w:lang w:val="fr-FR"/>
              </w:rPr>
              <w:t>/Document/</w:t>
            </w:r>
            <w:proofErr w:type="spellStart"/>
            <w:r w:rsidRPr="00C3521F">
              <w:rPr>
                <w:sz w:val="18"/>
                <w:szCs w:val="18"/>
                <w:lang w:val="fr-FR"/>
              </w:rPr>
              <w:t>SctiesSttlmTxQry</w:t>
            </w:r>
            <w:proofErr w:type="spellEnd"/>
            <w:r w:rsidRPr="00C3521F">
              <w:rPr>
                <w:sz w:val="18"/>
                <w:szCs w:val="18"/>
                <w:lang w:val="fr-FR"/>
              </w:rPr>
              <w:t>/</w:t>
            </w:r>
            <w:proofErr w:type="spellStart"/>
            <w:r w:rsidRPr="00C3521F">
              <w:rPr>
                <w:sz w:val="18"/>
                <w:szCs w:val="18"/>
                <w:lang w:val="fr-FR"/>
              </w:rPr>
              <w:t>QryDef</w:t>
            </w:r>
            <w:proofErr w:type="spellEnd"/>
            <w:r w:rsidRPr="00C3521F">
              <w:rPr>
                <w:sz w:val="18"/>
                <w:szCs w:val="18"/>
                <w:lang w:val="fr-FR"/>
              </w:rPr>
              <w:t>/</w:t>
            </w:r>
            <w:proofErr w:type="spellStart"/>
            <w:r w:rsidRPr="00C3521F">
              <w:rPr>
                <w:sz w:val="18"/>
                <w:szCs w:val="18"/>
                <w:lang w:val="fr-FR"/>
              </w:rPr>
              <w:t>SchCrit</w:t>
            </w:r>
            <w:proofErr w:type="spellEnd"/>
            <w:r w:rsidRPr="00C3521F">
              <w:rPr>
                <w:sz w:val="18"/>
                <w:szCs w:val="18"/>
                <w:lang w:val="fr-FR"/>
              </w:rPr>
              <w:t>/</w:t>
            </w:r>
            <w:proofErr w:type="spellStart"/>
            <w:r w:rsidRPr="00C3521F">
              <w:rPr>
                <w:sz w:val="18"/>
                <w:szCs w:val="18"/>
                <w:lang w:val="fr-FR"/>
              </w:rPr>
              <w:t>SttlmTxCond</w:t>
            </w:r>
            <w:proofErr w:type="spellEnd"/>
            <w:r w:rsidRPr="00C3521F">
              <w:rPr>
                <w:sz w:val="18"/>
                <w:szCs w:val="18"/>
                <w:lang w:val="fr-FR"/>
              </w:rPr>
              <w:t>/</w:t>
            </w:r>
            <w:proofErr w:type="spellStart"/>
            <w:r w:rsidRPr="00C3521F">
              <w:rPr>
                <w:sz w:val="18"/>
                <w:szCs w:val="18"/>
                <w:lang w:val="fr-FR"/>
              </w:rPr>
              <w:t>Prtry</w:t>
            </w:r>
            <w:proofErr w:type="spellEnd"/>
          </w:p>
        </w:tc>
      </w:tr>
    </w:tbl>
    <w:p w14:paraId="3DF8C98A" w14:textId="325C9FB4" w:rsidR="00887436" w:rsidRDefault="00887436" w:rsidP="003253DD">
      <w:pPr>
        <w:ind w:left="360"/>
        <w:rPr>
          <w:lang w:val="fr-FR"/>
        </w:rPr>
      </w:pPr>
    </w:p>
    <w:p w14:paraId="4D862362" w14:textId="39AEB465" w:rsidR="003253DD" w:rsidRPr="00C3521F" w:rsidRDefault="003253DD" w:rsidP="003253DD">
      <w:pPr>
        <w:pStyle w:val="ListParagraph"/>
        <w:numPr>
          <w:ilvl w:val="1"/>
          <w:numId w:val="24"/>
        </w:numPr>
        <w:rPr>
          <w:rFonts w:ascii="Times New Roman" w:hAnsi="Times New Roman"/>
          <w:sz w:val="24"/>
          <w:szCs w:val="24"/>
          <w:lang w:val="fr-FR"/>
        </w:rPr>
      </w:pPr>
      <w:proofErr w:type="spellStart"/>
      <w:r w:rsidRPr="00C3521F">
        <w:rPr>
          <w:rFonts w:ascii="Times New Roman" w:hAnsi="Times New Roman"/>
          <w:sz w:val="24"/>
          <w:szCs w:val="24"/>
          <w:lang w:val="fr-FR"/>
        </w:rPr>
        <w:t>SettlementTransactionCondition</w:t>
      </w:r>
      <w:proofErr w:type="spellEnd"/>
      <w:r w:rsidRPr="00C3521F">
        <w:rPr>
          <w:rFonts w:ascii="Times New Roman" w:hAnsi="Times New Roman"/>
          <w:sz w:val="24"/>
          <w:szCs w:val="24"/>
          <w:lang w:val="fr-FR"/>
        </w:rPr>
        <w:t xml:space="preserve"> &lt;</w:t>
      </w:r>
      <w:proofErr w:type="spellStart"/>
      <w:r w:rsidRPr="00C3521F">
        <w:rPr>
          <w:rFonts w:ascii="Times New Roman" w:hAnsi="Times New Roman"/>
          <w:sz w:val="24"/>
          <w:szCs w:val="24"/>
          <w:lang w:val="fr-FR"/>
        </w:rPr>
        <w:t>SttlmTxCond</w:t>
      </w:r>
      <w:proofErr w:type="spellEnd"/>
      <w:r w:rsidRPr="00C3521F">
        <w:rPr>
          <w:rFonts w:ascii="Times New Roman" w:hAnsi="Times New Roman"/>
          <w:sz w:val="24"/>
          <w:szCs w:val="24"/>
          <w:lang w:val="fr-FR"/>
        </w:rPr>
        <w:t>&gt;</w:t>
      </w:r>
    </w:p>
    <w:p w14:paraId="201F9C18" w14:textId="77777777" w:rsidR="003253DD" w:rsidRDefault="003253DD" w:rsidP="00C3521F">
      <w:pPr>
        <w:pStyle w:val="ListParagraph"/>
        <w:rPr>
          <w:lang w:val="fr-FR"/>
        </w:rPr>
      </w:pPr>
    </w:p>
    <w:tbl>
      <w:tblPr>
        <w:tblW w:w="9220" w:type="dxa"/>
        <w:tblCellMar>
          <w:left w:w="70" w:type="dxa"/>
          <w:right w:w="70" w:type="dxa"/>
        </w:tblCellMar>
        <w:tblLook w:val="04A0" w:firstRow="1" w:lastRow="0" w:firstColumn="1" w:lastColumn="0" w:noHBand="0" w:noVBand="1"/>
      </w:tblPr>
      <w:tblGrid>
        <w:gridCol w:w="4280"/>
        <w:gridCol w:w="1340"/>
        <w:gridCol w:w="3600"/>
      </w:tblGrid>
      <w:tr w:rsidR="00B662BE" w:rsidRPr="003253DD" w14:paraId="76A2BF3C" w14:textId="77777777" w:rsidTr="003253DD">
        <w:trPr>
          <w:trHeight w:val="264"/>
        </w:trPr>
        <w:tc>
          <w:tcPr>
            <w:tcW w:w="4280" w:type="dxa"/>
            <w:tcBorders>
              <w:top w:val="single" w:sz="4" w:space="0" w:color="auto"/>
              <w:left w:val="single" w:sz="4" w:space="0" w:color="auto"/>
              <w:bottom w:val="single" w:sz="4" w:space="0" w:color="auto"/>
              <w:right w:val="single" w:sz="4" w:space="0" w:color="auto"/>
            </w:tcBorders>
            <w:noWrap/>
            <w:vAlign w:val="center"/>
            <w:hideMark/>
          </w:tcPr>
          <w:p w14:paraId="340A3DA3" w14:textId="3D2EAF4F"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Message</w:t>
            </w:r>
            <w:r w:rsidR="00BF374F">
              <w:rPr>
                <w:rFonts w:eastAsia="Times New Roman"/>
                <w:color w:val="000000"/>
                <w:sz w:val="20"/>
                <w:lang w:val="fr-FR" w:eastAsia="fr-FR"/>
              </w:rPr>
              <w:t xml:space="preserve"> </w:t>
            </w:r>
            <w:proofErr w:type="spellStart"/>
            <w:r w:rsidRPr="003253DD">
              <w:rPr>
                <w:rFonts w:eastAsia="Times New Roman"/>
                <w:color w:val="000000"/>
                <w:sz w:val="20"/>
                <w:lang w:val="fr-FR" w:eastAsia="fr-FR"/>
              </w:rPr>
              <w:t>Element</w:t>
            </w:r>
            <w:proofErr w:type="spellEnd"/>
            <w:r w:rsidR="0089685B">
              <w:rPr>
                <w:rFonts w:eastAsia="Times New Roman"/>
                <w:color w:val="000000"/>
                <w:sz w:val="20"/>
                <w:lang w:val="fr-FR" w:eastAsia="fr-FR"/>
              </w:rPr>
              <w:t xml:space="preserve"> </w:t>
            </w:r>
            <w:r w:rsidRPr="003253DD">
              <w:rPr>
                <w:rFonts w:eastAsia="Times New Roman"/>
                <w:color w:val="000000"/>
                <w:sz w:val="20"/>
                <w:lang w:val="fr-FR" w:eastAsia="fr-FR"/>
              </w:rPr>
              <w:t>&lt;XML Tag&gt;</w:t>
            </w:r>
          </w:p>
        </w:tc>
        <w:tc>
          <w:tcPr>
            <w:tcW w:w="1340" w:type="dxa"/>
            <w:tcBorders>
              <w:top w:val="single" w:sz="4" w:space="0" w:color="auto"/>
              <w:left w:val="nil"/>
              <w:bottom w:val="single" w:sz="4" w:space="0" w:color="auto"/>
              <w:right w:val="single" w:sz="4" w:space="0" w:color="auto"/>
            </w:tcBorders>
            <w:noWrap/>
            <w:vAlign w:val="center"/>
            <w:hideMark/>
          </w:tcPr>
          <w:p w14:paraId="07EB74B4" w14:textId="77777777" w:rsidR="003253DD" w:rsidRPr="003253DD" w:rsidRDefault="003253DD" w:rsidP="003253DD">
            <w:pPr>
              <w:spacing w:before="0"/>
              <w:rPr>
                <w:rFonts w:eastAsia="Times New Roman"/>
                <w:color w:val="000000"/>
                <w:sz w:val="20"/>
                <w:lang w:val="fr-FR" w:eastAsia="fr-FR"/>
              </w:rPr>
            </w:pPr>
            <w:proofErr w:type="spellStart"/>
            <w:r w:rsidRPr="003253DD">
              <w:rPr>
                <w:rFonts w:eastAsia="Times New Roman"/>
                <w:color w:val="000000"/>
                <w:sz w:val="20"/>
                <w:lang w:val="fr-FR" w:eastAsia="fr-FR"/>
              </w:rPr>
              <w:t>Mult</w:t>
            </w:r>
            <w:proofErr w:type="spellEnd"/>
            <w:r w:rsidRPr="003253DD">
              <w:rPr>
                <w:rFonts w:eastAsia="Times New Roman"/>
                <w:color w:val="000000"/>
                <w:sz w:val="20"/>
                <w:lang w:val="fr-FR" w:eastAsia="fr-FR"/>
              </w:rPr>
              <w:t>.</w:t>
            </w:r>
          </w:p>
        </w:tc>
        <w:tc>
          <w:tcPr>
            <w:tcW w:w="3600" w:type="dxa"/>
            <w:tcBorders>
              <w:top w:val="single" w:sz="4" w:space="0" w:color="auto"/>
              <w:left w:val="nil"/>
              <w:bottom w:val="single" w:sz="4" w:space="0" w:color="auto"/>
              <w:right w:val="single" w:sz="4" w:space="0" w:color="auto"/>
            </w:tcBorders>
            <w:noWrap/>
            <w:vAlign w:val="center"/>
            <w:hideMark/>
          </w:tcPr>
          <w:p w14:paraId="6EE8DE3D" w14:textId="3D337C41" w:rsidR="003253DD" w:rsidRPr="003253DD" w:rsidRDefault="00A3435F" w:rsidP="003253DD">
            <w:pPr>
              <w:spacing w:before="0"/>
              <w:rPr>
                <w:rFonts w:eastAsia="Times New Roman"/>
                <w:color w:val="000000"/>
                <w:sz w:val="20"/>
                <w:lang w:val="fr-FR" w:eastAsia="fr-FR"/>
              </w:rPr>
            </w:pPr>
            <w:r>
              <w:rPr>
                <w:rFonts w:eastAsia="Times New Roman"/>
                <w:color w:val="000000"/>
                <w:sz w:val="20"/>
                <w:lang w:val="fr-FR" w:eastAsia="fr-FR"/>
              </w:rPr>
              <w:t xml:space="preserve">Data </w:t>
            </w:r>
            <w:r w:rsidR="003253DD" w:rsidRPr="003253DD">
              <w:rPr>
                <w:rFonts w:eastAsia="Times New Roman"/>
                <w:color w:val="000000"/>
                <w:sz w:val="20"/>
                <w:lang w:val="fr-FR" w:eastAsia="fr-FR"/>
              </w:rPr>
              <w:t>Type</w:t>
            </w:r>
          </w:p>
        </w:tc>
      </w:tr>
      <w:tr w:rsidR="00B662BE" w:rsidRPr="003253DD" w14:paraId="07B2E387" w14:textId="77777777" w:rsidTr="003253DD">
        <w:trPr>
          <w:trHeight w:val="528"/>
        </w:trPr>
        <w:tc>
          <w:tcPr>
            <w:tcW w:w="4280" w:type="dxa"/>
            <w:tcBorders>
              <w:top w:val="nil"/>
              <w:left w:val="single" w:sz="4" w:space="0" w:color="auto"/>
              <w:bottom w:val="single" w:sz="4" w:space="0" w:color="auto"/>
              <w:right w:val="single" w:sz="4" w:space="0" w:color="auto"/>
            </w:tcBorders>
            <w:noWrap/>
            <w:vAlign w:val="center"/>
            <w:hideMark/>
          </w:tcPr>
          <w:p w14:paraId="5C8F46C6" w14:textId="77777777" w:rsidR="003253DD" w:rsidRPr="003253DD" w:rsidRDefault="003253DD" w:rsidP="003253DD">
            <w:pPr>
              <w:spacing w:before="0"/>
              <w:rPr>
                <w:rFonts w:eastAsia="Times New Roman"/>
                <w:color w:val="000000"/>
                <w:sz w:val="20"/>
                <w:lang w:val="fr-FR" w:eastAsia="fr-FR"/>
              </w:rPr>
            </w:pPr>
            <w:proofErr w:type="spellStart"/>
            <w:r w:rsidRPr="003253DD">
              <w:rPr>
                <w:rFonts w:eastAsia="Times New Roman"/>
                <w:color w:val="000000"/>
                <w:sz w:val="20"/>
                <w:lang w:val="fr-FR" w:eastAsia="fr-FR"/>
              </w:rPr>
              <w:t>Settlement</w:t>
            </w:r>
            <w:proofErr w:type="spellEnd"/>
            <w:r w:rsidRPr="003253DD">
              <w:rPr>
                <w:rFonts w:eastAsia="Times New Roman"/>
                <w:color w:val="000000"/>
                <w:sz w:val="20"/>
                <w:lang w:val="fr-FR" w:eastAsia="fr-FR"/>
              </w:rPr>
              <w:t xml:space="preserve"> Transaction Condition &lt;</w:t>
            </w:r>
            <w:proofErr w:type="spellStart"/>
            <w:r w:rsidRPr="003253DD">
              <w:rPr>
                <w:rFonts w:eastAsia="Times New Roman"/>
                <w:color w:val="000000"/>
                <w:sz w:val="20"/>
                <w:lang w:val="fr-FR" w:eastAsia="fr-FR"/>
              </w:rPr>
              <w:t>SttlmTxCond</w:t>
            </w:r>
            <w:proofErr w:type="spellEnd"/>
            <w:r w:rsidRPr="003253DD">
              <w:rPr>
                <w:rFonts w:eastAsia="Times New Roman"/>
                <w:color w:val="000000"/>
                <w:sz w:val="20"/>
                <w:lang w:val="fr-FR" w:eastAsia="fr-FR"/>
              </w:rPr>
              <w:t>&gt;</w:t>
            </w:r>
          </w:p>
        </w:tc>
        <w:tc>
          <w:tcPr>
            <w:tcW w:w="1340" w:type="dxa"/>
            <w:tcBorders>
              <w:top w:val="nil"/>
              <w:left w:val="nil"/>
              <w:bottom w:val="single" w:sz="4" w:space="0" w:color="auto"/>
              <w:right w:val="single" w:sz="4" w:space="0" w:color="auto"/>
            </w:tcBorders>
            <w:noWrap/>
            <w:vAlign w:val="center"/>
            <w:hideMark/>
          </w:tcPr>
          <w:p w14:paraId="7F9AFC02"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w:t>
            </w:r>
            <w:proofErr w:type="gramStart"/>
            <w:r w:rsidRPr="003253DD">
              <w:rPr>
                <w:rFonts w:eastAsia="Times New Roman"/>
                <w:color w:val="000000"/>
                <w:sz w:val="20"/>
                <w:lang w:val="fr-FR" w:eastAsia="fr-FR"/>
              </w:rPr>
              <w:t>0..</w:t>
            </w:r>
            <w:proofErr w:type="gramEnd"/>
            <w:r w:rsidRPr="003253DD">
              <w:rPr>
                <w:rFonts w:eastAsia="Times New Roman"/>
                <w:color w:val="000000"/>
                <w:sz w:val="20"/>
                <w:lang w:val="fr-FR" w:eastAsia="fr-FR"/>
              </w:rPr>
              <w:t>*]</w:t>
            </w:r>
          </w:p>
        </w:tc>
        <w:tc>
          <w:tcPr>
            <w:tcW w:w="3600" w:type="dxa"/>
            <w:tcBorders>
              <w:top w:val="nil"/>
              <w:left w:val="nil"/>
              <w:bottom w:val="single" w:sz="4" w:space="0" w:color="auto"/>
              <w:right w:val="single" w:sz="4" w:space="0" w:color="auto"/>
            </w:tcBorders>
            <w:vAlign w:val="center"/>
            <w:hideMark/>
          </w:tcPr>
          <w:p w14:paraId="77C2D002"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SettlementTransactionCondition41Choice</w:t>
            </w:r>
            <w:r w:rsidRPr="003253DD">
              <w:rPr>
                <w:rFonts w:eastAsia="Times New Roman"/>
                <w:color w:val="000000"/>
                <w:sz w:val="20"/>
                <w:lang w:val="fr-FR" w:eastAsia="fr-FR"/>
              </w:rPr>
              <w:br/>
            </w:r>
            <w:proofErr w:type="spellStart"/>
            <w:r w:rsidRPr="003253DD">
              <w:rPr>
                <w:rFonts w:eastAsia="Times New Roman"/>
                <w:color w:val="000000"/>
                <w:sz w:val="20"/>
                <w:lang w:val="fr-FR" w:eastAsia="fr-FR"/>
              </w:rPr>
              <w:t>is_</w:t>
            </w:r>
            <w:proofErr w:type="gramStart"/>
            <w:r w:rsidRPr="003253DD">
              <w:rPr>
                <w:rFonts w:eastAsia="Times New Roman"/>
                <w:color w:val="000000"/>
                <w:sz w:val="20"/>
                <w:lang w:val="fr-FR" w:eastAsia="fr-FR"/>
              </w:rPr>
              <w:t>choice</w:t>
            </w:r>
            <w:proofErr w:type="spellEnd"/>
            <w:r w:rsidRPr="003253DD">
              <w:rPr>
                <w:rFonts w:eastAsia="Times New Roman"/>
                <w:color w:val="000000"/>
                <w:sz w:val="20"/>
                <w:lang w:val="fr-FR" w:eastAsia="fr-FR"/>
              </w:rPr>
              <w:t>:</w:t>
            </w:r>
            <w:proofErr w:type="gramEnd"/>
            <w:r w:rsidRPr="003253DD">
              <w:rPr>
                <w:rFonts w:eastAsia="Times New Roman"/>
                <w:color w:val="000000"/>
                <w:sz w:val="20"/>
                <w:lang w:val="fr-FR" w:eastAsia="fr-FR"/>
              </w:rPr>
              <w:t xml:space="preserve"> </w:t>
            </w:r>
            <w:proofErr w:type="spellStart"/>
            <w:r w:rsidRPr="003253DD">
              <w:rPr>
                <w:rFonts w:eastAsia="Times New Roman"/>
                <w:color w:val="000000"/>
                <w:sz w:val="20"/>
                <w:lang w:val="fr-FR" w:eastAsia="fr-FR"/>
              </w:rPr>
              <w:t>true</w:t>
            </w:r>
            <w:proofErr w:type="spellEnd"/>
          </w:p>
        </w:tc>
      </w:tr>
    </w:tbl>
    <w:p w14:paraId="27E269F2" w14:textId="77777777" w:rsidR="00831BDD" w:rsidRPr="00C3521F" w:rsidRDefault="003253DD" w:rsidP="00D274AC">
      <w:pPr>
        <w:pStyle w:val="ListParagraph"/>
        <w:numPr>
          <w:ilvl w:val="0"/>
          <w:numId w:val="25"/>
        </w:numPr>
        <w:jc w:val="both"/>
        <w:rPr>
          <w:rFonts w:ascii="Times New Roman" w:hAnsi="Times New Roman"/>
          <w:sz w:val="24"/>
          <w:szCs w:val="24"/>
          <w:lang w:val="fr-FR"/>
        </w:rPr>
      </w:pPr>
      <w:proofErr w:type="spellStart"/>
      <w:proofErr w:type="gramStart"/>
      <w:r w:rsidRPr="00C3521F">
        <w:rPr>
          <w:rFonts w:ascii="Times New Roman" w:hAnsi="Times New Roman"/>
          <w:sz w:val="24"/>
          <w:szCs w:val="24"/>
          <w:lang w:val="fr-FR"/>
        </w:rPr>
        <w:t>Presence</w:t>
      </w:r>
      <w:proofErr w:type="spellEnd"/>
      <w:r w:rsidRPr="00C3521F">
        <w:rPr>
          <w:rFonts w:ascii="Times New Roman" w:hAnsi="Times New Roman"/>
          <w:sz w:val="24"/>
          <w:szCs w:val="24"/>
          <w:lang w:val="fr-FR"/>
        </w:rPr>
        <w:t>:</w:t>
      </w:r>
      <w:proofErr w:type="gramEnd"/>
      <w:r w:rsidRPr="00C3521F">
        <w:rPr>
          <w:rFonts w:ascii="Times New Roman" w:hAnsi="Times New Roman"/>
          <w:sz w:val="24"/>
          <w:szCs w:val="24"/>
          <w:lang w:val="fr-FR"/>
        </w:rPr>
        <w:t xml:space="preserve"> [</w:t>
      </w:r>
      <w:proofErr w:type="gramStart"/>
      <w:r w:rsidRPr="00C3521F">
        <w:rPr>
          <w:rFonts w:ascii="Times New Roman" w:hAnsi="Times New Roman"/>
          <w:sz w:val="24"/>
          <w:szCs w:val="24"/>
          <w:lang w:val="fr-FR"/>
        </w:rPr>
        <w:t>0..</w:t>
      </w:r>
      <w:proofErr w:type="gramEnd"/>
      <w:r w:rsidRPr="00C3521F">
        <w:rPr>
          <w:rFonts w:ascii="Times New Roman" w:hAnsi="Times New Roman"/>
          <w:sz w:val="24"/>
          <w:szCs w:val="24"/>
          <w:lang w:val="fr-FR"/>
        </w:rPr>
        <w:t>*]</w:t>
      </w:r>
    </w:p>
    <w:p w14:paraId="17279FA6" w14:textId="77777777" w:rsidR="00831BDD" w:rsidRPr="00C3521F" w:rsidRDefault="003253DD" w:rsidP="00D274AC">
      <w:pPr>
        <w:pStyle w:val="ListParagraph"/>
        <w:numPr>
          <w:ilvl w:val="0"/>
          <w:numId w:val="25"/>
        </w:numPr>
        <w:jc w:val="both"/>
        <w:rPr>
          <w:rFonts w:ascii="Times New Roman" w:hAnsi="Times New Roman"/>
          <w:sz w:val="24"/>
          <w:szCs w:val="24"/>
        </w:rPr>
      </w:pPr>
      <w:r w:rsidRPr="00C3521F">
        <w:rPr>
          <w:rFonts w:ascii="Times New Roman" w:hAnsi="Times New Roman"/>
          <w:sz w:val="24"/>
          <w:szCs w:val="24"/>
        </w:rPr>
        <w:t>Definition: Indicates the conditions under which the order/trade is to be executed.</w:t>
      </w:r>
    </w:p>
    <w:p w14:paraId="611BF715" w14:textId="78B7BC5F" w:rsidR="003253DD" w:rsidRPr="00004B12" w:rsidRDefault="003253DD" w:rsidP="00831BDD">
      <w:pPr>
        <w:jc w:val="both"/>
        <w:rPr>
          <w:szCs w:val="24"/>
        </w:rPr>
      </w:pPr>
      <w:proofErr w:type="spellStart"/>
      <w:r w:rsidRPr="00004B12">
        <w:rPr>
          <w:szCs w:val="24"/>
        </w:rPr>
        <w:t>SettlementTransactionCondition</w:t>
      </w:r>
      <w:proofErr w:type="spellEnd"/>
      <w:r w:rsidRPr="00004B12">
        <w:rPr>
          <w:szCs w:val="24"/>
        </w:rPr>
        <w:t xml:space="preserve"> &lt;</w:t>
      </w:r>
      <w:proofErr w:type="spellStart"/>
      <w:r w:rsidRPr="00004B12">
        <w:rPr>
          <w:szCs w:val="24"/>
        </w:rPr>
        <w:t>SttlmTxCond</w:t>
      </w:r>
      <w:proofErr w:type="spellEnd"/>
      <w:r w:rsidRPr="00004B12">
        <w:rPr>
          <w:szCs w:val="24"/>
        </w:rPr>
        <w:t>&gt; contains one of the following elements</w:t>
      </w:r>
    </w:p>
    <w:p w14:paraId="77F1586A" w14:textId="77777777" w:rsidR="00831BDD" w:rsidRPr="00831BDD" w:rsidRDefault="00831BDD" w:rsidP="00C3521F">
      <w:pPr>
        <w:jc w:val="both"/>
      </w:pPr>
    </w:p>
    <w:tbl>
      <w:tblPr>
        <w:tblW w:w="9640" w:type="dxa"/>
        <w:tblCellMar>
          <w:left w:w="70" w:type="dxa"/>
          <w:right w:w="70" w:type="dxa"/>
        </w:tblCellMar>
        <w:tblLook w:val="04A0" w:firstRow="1" w:lastRow="0" w:firstColumn="1" w:lastColumn="0" w:noHBand="0" w:noVBand="1"/>
      </w:tblPr>
      <w:tblGrid>
        <w:gridCol w:w="448"/>
        <w:gridCol w:w="4280"/>
        <w:gridCol w:w="1340"/>
        <w:gridCol w:w="3600"/>
      </w:tblGrid>
      <w:tr w:rsidR="00B662BE" w:rsidRPr="003253DD" w14:paraId="63877E38" w14:textId="77777777" w:rsidTr="003253DD">
        <w:trPr>
          <w:trHeight w:val="264"/>
        </w:trPr>
        <w:tc>
          <w:tcPr>
            <w:tcW w:w="420" w:type="dxa"/>
            <w:tcBorders>
              <w:top w:val="single" w:sz="4" w:space="0" w:color="auto"/>
              <w:left w:val="single" w:sz="4" w:space="0" w:color="auto"/>
              <w:bottom w:val="single" w:sz="4" w:space="0" w:color="auto"/>
              <w:right w:val="single" w:sz="4" w:space="0" w:color="auto"/>
            </w:tcBorders>
            <w:noWrap/>
            <w:vAlign w:val="center"/>
            <w:hideMark/>
          </w:tcPr>
          <w:p w14:paraId="5111884F"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Or</w:t>
            </w:r>
          </w:p>
        </w:tc>
        <w:tc>
          <w:tcPr>
            <w:tcW w:w="4280" w:type="dxa"/>
            <w:tcBorders>
              <w:top w:val="single" w:sz="4" w:space="0" w:color="auto"/>
              <w:left w:val="nil"/>
              <w:bottom w:val="single" w:sz="4" w:space="0" w:color="auto"/>
              <w:right w:val="single" w:sz="4" w:space="0" w:color="auto"/>
            </w:tcBorders>
            <w:noWrap/>
            <w:vAlign w:val="center"/>
            <w:hideMark/>
          </w:tcPr>
          <w:p w14:paraId="28A72162" w14:textId="279D88E4"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Message</w:t>
            </w:r>
            <w:r w:rsidR="00BF374F">
              <w:rPr>
                <w:rFonts w:eastAsia="Times New Roman"/>
                <w:color w:val="000000"/>
                <w:sz w:val="20"/>
                <w:lang w:val="fr-FR" w:eastAsia="fr-FR"/>
              </w:rPr>
              <w:t xml:space="preserve"> </w:t>
            </w:r>
            <w:proofErr w:type="spellStart"/>
            <w:r w:rsidRPr="003253DD">
              <w:rPr>
                <w:rFonts w:eastAsia="Times New Roman"/>
                <w:color w:val="000000"/>
                <w:sz w:val="20"/>
                <w:lang w:val="fr-FR" w:eastAsia="fr-FR"/>
              </w:rPr>
              <w:t>Element</w:t>
            </w:r>
            <w:proofErr w:type="spellEnd"/>
            <w:r w:rsidR="0089685B">
              <w:rPr>
                <w:rFonts w:eastAsia="Times New Roman"/>
                <w:color w:val="000000"/>
                <w:sz w:val="20"/>
                <w:lang w:val="fr-FR" w:eastAsia="fr-FR"/>
              </w:rPr>
              <w:t xml:space="preserve"> </w:t>
            </w:r>
            <w:r w:rsidRPr="003253DD">
              <w:rPr>
                <w:rFonts w:eastAsia="Times New Roman"/>
                <w:color w:val="000000"/>
                <w:sz w:val="20"/>
                <w:lang w:val="fr-FR" w:eastAsia="fr-FR"/>
              </w:rPr>
              <w:t>&lt;XML Tag&gt;</w:t>
            </w:r>
          </w:p>
        </w:tc>
        <w:tc>
          <w:tcPr>
            <w:tcW w:w="1340" w:type="dxa"/>
            <w:tcBorders>
              <w:top w:val="single" w:sz="4" w:space="0" w:color="auto"/>
              <w:left w:val="nil"/>
              <w:bottom w:val="single" w:sz="4" w:space="0" w:color="auto"/>
              <w:right w:val="single" w:sz="4" w:space="0" w:color="auto"/>
            </w:tcBorders>
            <w:noWrap/>
            <w:vAlign w:val="center"/>
            <w:hideMark/>
          </w:tcPr>
          <w:p w14:paraId="2EB8688C" w14:textId="77777777" w:rsidR="003253DD" w:rsidRPr="003253DD" w:rsidRDefault="003253DD" w:rsidP="003253DD">
            <w:pPr>
              <w:spacing w:before="0"/>
              <w:rPr>
                <w:rFonts w:eastAsia="Times New Roman"/>
                <w:color w:val="000000"/>
                <w:sz w:val="20"/>
                <w:lang w:val="fr-FR" w:eastAsia="fr-FR"/>
              </w:rPr>
            </w:pPr>
            <w:proofErr w:type="spellStart"/>
            <w:r w:rsidRPr="003253DD">
              <w:rPr>
                <w:rFonts w:eastAsia="Times New Roman"/>
                <w:color w:val="000000"/>
                <w:sz w:val="20"/>
                <w:lang w:val="fr-FR" w:eastAsia="fr-FR"/>
              </w:rPr>
              <w:t>Mult</w:t>
            </w:r>
            <w:proofErr w:type="spellEnd"/>
            <w:r w:rsidRPr="003253DD">
              <w:rPr>
                <w:rFonts w:eastAsia="Times New Roman"/>
                <w:color w:val="000000"/>
                <w:sz w:val="20"/>
                <w:lang w:val="fr-FR" w:eastAsia="fr-FR"/>
              </w:rPr>
              <w:t>.</w:t>
            </w:r>
          </w:p>
        </w:tc>
        <w:tc>
          <w:tcPr>
            <w:tcW w:w="3600" w:type="dxa"/>
            <w:tcBorders>
              <w:top w:val="single" w:sz="4" w:space="0" w:color="auto"/>
              <w:left w:val="nil"/>
              <w:bottom w:val="single" w:sz="4" w:space="0" w:color="auto"/>
              <w:right w:val="single" w:sz="4" w:space="0" w:color="auto"/>
            </w:tcBorders>
            <w:noWrap/>
            <w:vAlign w:val="center"/>
            <w:hideMark/>
          </w:tcPr>
          <w:p w14:paraId="738F8252" w14:textId="51A16C9F" w:rsidR="003253DD" w:rsidRPr="003253DD" w:rsidRDefault="00A3435F" w:rsidP="003253DD">
            <w:pPr>
              <w:spacing w:before="0"/>
              <w:rPr>
                <w:rFonts w:eastAsia="Times New Roman"/>
                <w:color w:val="000000"/>
                <w:sz w:val="20"/>
                <w:lang w:val="fr-FR" w:eastAsia="fr-FR"/>
              </w:rPr>
            </w:pPr>
            <w:r>
              <w:rPr>
                <w:rFonts w:eastAsia="Times New Roman"/>
                <w:color w:val="000000"/>
                <w:sz w:val="20"/>
                <w:lang w:val="fr-FR" w:eastAsia="fr-FR"/>
              </w:rPr>
              <w:t xml:space="preserve">Data </w:t>
            </w:r>
            <w:r w:rsidR="003253DD" w:rsidRPr="003253DD">
              <w:rPr>
                <w:rFonts w:eastAsia="Times New Roman"/>
                <w:color w:val="000000"/>
                <w:sz w:val="20"/>
                <w:lang w:val="fr-FR" w:eastAsia="fr-FR"/>
              </w:rPr>
              <w:t>Type</w:t>
            </w:r>
          </w:p>
        </w:tc>
      </w:tr>
      <w:tr w:rsidR="00B662BE" w:rsidRPr="003253DD" w14:paraId="01E33E19" w14:textId="77777777" w:rsidTr="003253DD">
        <w:trPr>
          <w:trHeight w:val="264"/>
        </w:trPr>
        <w:tc>
          <w:tcPr>
            <w:tcW w:w="420" w:type="dxa"/>
            <w:tcBorders>
              <w:top w:val="nil"/>
              <w:left w:val="single" w:sz="4" w:space="0" w:color="auto"/>
              <w:bottom w:val="single" w:sz="4" w:space="0" w:color="auto"/>
              <w:right w:val="single" w:sz="4" w:space="0" w:color="auto"/>
            </w:tcBorders>
            <w:noWrap/>
            <w:vAlign w:val="center"/>
            <w:hideMark/>
          </w:tcPr>
          <w:p w14:paraId="6002230D"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{Or</w:t>
            </w:r>
          </w:p>
        </w:tc>
        <w:tc>
          <w:tcPr>
            <w:tcW w:w="4280" w:type="dxa"/>
            <w:tcBorders>
              <w:top w:val="nil"/>
              <w:left w:val="nil"/>
              <w:bottom w:val="single" w:sz="4" w:space="0" w:color="auto"/>
              <w:right w:val="single" w:sz="4" w:space="0" w:color="auto"/>
            </w:tcBorders>
            <w:noWrap/>
            <w:vAlign w:val="center"/>
            <w:hideMark/>
          </w:tcPr>
          <w:p w14:paraId="4D079B77"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Code &lt;Cd&gt;</w:t>
            </w:r>
          </w:p>
        </w:tc>
        <w:tc>
          <w:tcPr>
            <w:tcW w:w="1340" w:type="dxa"/>
            <w:tcBorders>
              <w:top w:val="nil"/>
              <w:left w:val="nil"/>
              <w:bottom w:val="single" w:sz="4" w:space="0" w:color="auto"/>
              <w:right w:val="single" w:sz="4" w:space="0" w:color="auto"/>
            </w:tcBorders>
            <w:noWrap/>
            <w:vAlign w:val="center"/>
            <w:hideMark/>
          </w:tcPr>
          <w:p w14:paraId="37E3F3BB"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w:t>
            </w:r>
            <w:proofErr w:type="gramStart"/>
            <w:r w:rsidRPr="003253DD">
              <w:rPr>
                <w:rFonts w:eastAsia="Times New Roman"/>
                <w:color w:val="000000"/>
                <w:sz w:val="20"/>
                <w:lang w:val="fr-FR" w:eastAsia="fr-FR"/>
              </w:rPr>
              <w:t>1..</w:t>
            </w:r>
            <w:proofErr w:type="gramEnd"/>
            <w:r w:rsidRPr="003253DD">
              <w:rPr>
                <w:rFonts w:eastAsia="Times New Roman"/>
                <w:color w:val="000000"/>
                <w:sz w:val="20"/>
                <w:lang w:val="fr-FR" w:eastAsia="fr-FR"/>
              </w:rPr>
              <w:t>1]</w:t>
            </w:r>
          </w:p>
        </w:tc>
        <w:tc>
          <w:tcPr>
            <w:tcW w:w="3600" w:type="dxa"/>
            <w:tcBorders>
              <w:top w:val="nil"/>
              <w:left w:val="nil"/>
              <w:bottom w:val="single" w:sz="4" w:space="0" w:color="auto"/>
              <w:right w:val="single" w:sz="4" w:space="0" w:color="auto"/>
            </w:tcBorders>
            <w:noWrap/>
            <w:vAlign w:val="center"/>
            <w:hideMark/>
          </w:tcPr>
          <w:p w14:paraId="3F0A1C0F"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SettlementTransactionCondition16Code</w:t>
            </w:r>
          </w:p>
        </w:tc>
      </w:tr>
      <w:tr w:rsidR="00B662BE" w:rsidRPr="003253DD" w14:paraId="703F76BD" w14:textId="77777777" w:rsidTr="003253DD">
        <w:trPr>
          <w:trHeight w:val="528"/>
        </w:trPr>
        <w:tc>
          <w:tcPr>
            <w:tcW w:w="420" w:type="dxa"/>
            <w:tcBorders>
              <w:top w:val="nil"/>
              <w:left w:val="single" w:sz="4" w:space="0" w:color="auto"/>
              <w:bottom w:val="single" w:sz="4" w:space="0" w:color="auto"/>
              <w:right w:val="single" w:sz="4" w:space="0" w:color="auto"/>
            </w:tcBorders>
            <w:noWrap/>
            <w:vAlign w:val="center"/>
            <w:hideMark/>
          </w:tcPr>
          <w:p w14:paraId="05D205F9"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Or}</w:t>
            </w:r>
          </w:p>
        </w:tc>
        <w:tc>
          <w:tcPr>
            <w:tcW w:w="4280" w:type="dxa"/>
            <w:tcBorders>
              <w:top w:val="nil"/>
              <w:left w:val="nil"/>
              <w:bottom w:val="single" w:sz="4" w:space="0" w:color="auto"/>
              <w:right w:val="single" w:sz="4" w:space="0" w:color="auto"/>
            </w:tcBorders>
            <w:noWrap/>
            <w:vAlign w:val="center"/>
            <w:hideMark/>
          </w:tcPr>
          <w:p w14:paraId="653BE079" w14:textId="77777777" w:rsidR="003253DD" w:rsidRPr="003253DD" w:rsidRDefault="003253DD" w:rsidP="003253DD">
            <w:pPr>
              <w:spacing w:before="0"/>
              <w:rPr>
                <w:rFonts w:eastAsia="Times New Roman"/>
                <w:color w:val="000000"/>
                <w:sz w:val="20"/>
                <w:lang w:val="fr-FR" w:eastAsia="fr-FR"/>
              </w:rPr>
            </w:pPr>
            <w:proofErr w:type="spellStart"/>
            <w:r w:rsidRPr="003253DD">
              <w:rPr>
                <w:rFonts w:eastAsia="Times New Roman"/>
                <w:color w:val="000000"/>
                <w:sz w:val="20"/>
                <w:lang w:val="fr-FR" w:eastAsia="fr-FR"/>
              </w:rPr>
              <w:t>Proprietary</w:t>
            </w:r>
            <w:proofErr w:type="spellEnd"/>
            <w:r w:rsidRPr="003253DD">
              <w:rPr>
                <w:rFonts w:eastAsia="Times New Roman"/>
                <w:color w:val="000000"/>
                <w:sz w:val="20"/>
                <w:lang w:val="fr-FR" w:eastAsia="fr-FR"/>
              </w:rPr>
              <w:t xml:space="preserve"> &lt;</w:t>
            </w:r>
            <w:proofErr w:type="spellStart"/>
            <w:r w:rsidRPr="003253DD">
              <w:rPr>
                <w:rFonts w:eastAsia="Times New Roman"/>
                <w:color w:val="000000"/>
                <w:sz w:val="20"/>
                <w:lang w:val="fr-FR" w:eastAsia="fr-FR"/>
              </w:rPr>
              <w:t>Prtry</w:t>
            </w:r>
            <w:proofErr w:type="spellEnd"/>
            <w:r w:rsidRPr="003253DD">
              <w:rPr>
                <w:rFonts w:eastAsia="Times New Roman"/>
                <w:color w:val="000000"/>
                <w:sz w:val="20"/>
                <w:lang w:val="fr-FR" w:eastAsia="fr-FR"/>
              </w:rPr>
              <w:t>&gt;</w:t>
            </w:r>
          </w:p>
        </w:tc>
        <w:tc>
          <w:tcPr>
            <w:tcW w:w="1340" w:type="dxa"/>
            <w:tcBorders>
              <w:top w:val="nil"/>
              <w:left w:val="nil"/>
              <w:bottom w:val="single" w:sz="4" w:space="0" w:color="auto"/>
              <w:right w:val="single" w:sz="4" w:space="0" w:color="auto"/>
            </w:tcBorders>
            <w:noWrap/>
            <w:vAlign w:val="center"/>
            <w:hideMark/>
          </w:tcPr>
          <w:p w14:paraId="451F6993"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w:t>
            </w:r>
            <w:proofErr w:type="gramStart"/>
            <w:r w:rsidRPr="003253DD">
              <w:rPr>
                <w:rFonts w:eastAsia="Times New Roman"/>
                <w:color w:val="000000"/>
                <w:sz w:val="20"/>
                <w:lang w:val="fr-FR" w:eastAsia="fr-FR"/>
              </w:rPr>
              <w:t>1..</w:t>
            </w:r>
            <w:proofErr w:type="gramEnd"/>
            <w:r w:rsidRPr="003253DD">
              <w:rPr>
                <w:rFonts w:eastAsia="Times New Roman"/>
                <w:color w:val="000000"/>
                <w:sz w:val="20"/>
                <w:lang w:val="fr-FR" w:eastAsia="fr-FR"/>
              </w:rPr>
              <w:t>1]</w:t>
            </w:r>
          </w:p>
        </w:tc>
        <w:tc>
          <w:tcPr>
            <w:tcW w:w="3600" w:type="dxa"/>
            <w:tcBorders>
              <w:top w:val="nil"/>
              <w:left w:val="nil"/>
              <w:bottom w:val="single" w:sz="4" w:space="0" w:color="auto"/>
              <w:right w:val="single" w:sz="4" w:space="0" w:color="auto"/>
            </w:tcBorders>
            <w:vAlign w:val="center"/>
            <w:hideMark/>
          </w:tcPr>
          <w:p w14:paraId="6121FEF9" w14:textId="77777777" w:rsidR="003253DD" w:rsidRPr="003253DD" w:rsidRDefault="003253DD" w:rsidP="003253DD">
            <w:pPr>
              <w:spacing w:before="0"/>
              <w:rPr>
                <w:rFonts w:eastAsia="Times New Roman"/>
                <w:color w:val="000000"/>
                <w:sz w:val="20"/>
                <w:lang w:val="fr-FR" w:eastAsia="fr-FR"/>
              </w:rPr>
            </w:pPr>
            <w:r w:rsidRPr="003253DD">
              <w:rPr>
                <w:rFonts w:eastAsia="Times New Roman"/>
                <w:color w:val="000000"/>
                <w:sz w:val="20"/>
                <w:lang w:val="fr-FR" w:eastAsia="fr-FR"/>
              </w:rPr>
              <w:t>GenericIdentification30</w:t>
            </w:r>
            <w:r w:rsidRPr="003253DD">
              <w:rPr>
                <w:rFonts w:eastAsia="Times New Roman"/>
                <w:color w:val="000000"/>
                <w:sz w:val="20"/>
                <w:lang w:val="fr-FR" w:eastAsia="fr-FR"/>
              </w:rPr>
              <w:br/>
            </w:r>
            <w:proofErr w:type="spellStart"/>
            <w:r w:rsidRPr="003253DD">
              <w:rPr>
                <w:rFonts w:eastAsia="Times New Roman"/>
                <w:color w:val="000000"/>
                <w:sz w:val="20"/>
                <w:lang w:val="fr-FR" w:eastAsia="fr-FR"/>
              </w:rPr>
              <w:t>is_</w:t>
            </w:r>
            <w:proofErr w:type="gramStart"/>
            <w:r w:rsidRPr="003253DD">
              <w:rPr>
                <w:rFonts w:eastAsia="Times New Roman"/>
                <w:color w:val="000000"/>
                <w:sz w:val="20"/>
                <w:lang w:val="fr-FR" w:eastAsia="fr-FR"/>
              </w:rPr>
              <w:t>choice</w:t>
            </w:r>
            <w:proofErr w:type="spellEnd"/>
            <w:r w:rsidRPr="003253DD">
              <w:rPr>
                <w:rFonts w:eastAsia="Times New Roman"/>
                <w:color w:val="000000"/>
                <w:sz w:val="20"/>
                <w:lang w:val="fr-FR" w:eastAsia="fr-FR"/>
              </w:rPr>
              <w:t>:</w:t>
            </w:r>
            <w:proofErr w:type="gramEnd"/>
            <w:r w:rsidRPr="003253DD">
              <w:rPr>
                <w:rFonts w:eastAsia="Times New Roman"/>
                <w:color w:val="000000"/>
                <w:sz w:val="20"/>
                <w:lang w:val="fr-FR" w:eastAsia="fr-FR"/>
              </w:rPr>
              <w:t xml:space="preserve"> false</w:t>
            </w:r>
          </w:p>
        </w:tc>
      </w:tr>
    </w:tbl>
    <w:p w14:paraId="3087492F" w14:textId="77777777" w:rsidR="00887436" w:rsidRDefault="00887436" w:rsidP="00F23DF6">
      <w:pPr>
        <w:rPr>
          <w:lang w:val="en-GB"/>
        </w:rPr>
      </w:pPr>
    </w:p>
    <w:p w14:paraId="787E0E94" w14:textId="331E6891" w:rsidR="00CA304B" w:rsidRPr="00C3521F" w:rsidRDefault="008E2B65" w:rsidP="008E2B65">
      <w:pPr>
        <w:pStyle w:val="ListParagraph"/>
        <w:numPr>
          <w:ilvl w:val="2"/>
          <w:numId w:val="24"/>
        </w:numPr>
        <w:rPr>
          <w:rFonts w:ascii="Times New Roman" w:hAnsi="Times New Roman"/>
          <w:sz w:val="24"/>
          <w:szCs w:val="24"/>
          <w:lang w:val="fr-FR"/>
        </w:rPr>
      </w:pPr>
      <w:r w:rsidRPr="00C3521F">
        <w:rPr>
          <w:rFonts w:ascii="Times New Roman" w:hAnsi="Times New Roman"/>
          <w:sz w:val="24"/>
          <w:szCs w:val="24"/>
          <w:lang w:val="fr-FR"/>
        </w:rPr>
        <w:t>Code &lt;Cd&gt;</w:t>
      </w:r>
    </w:p>
    <w:p w14:paraId="72F770CB" w14:textId="77777777" w:rsidR="00831BDD" w:rsidRPr="00C3521F" w:rsidRDefault="00A3435F" w:rsidP="00A3435F">
      <w:pPr>
        <w:pStyle w:val="ListParagraph"/>
        <w:numPr>
          <w:ilvl w:val="0"/>
          <w:numId w:val="26"/>
        </w:numPr>
        <w:rPr>
          <w:rFonts w:ascii="Times New Roman" w:hAnsi="Times New Roman"/>
          <w:sz w:val="24"/>
          <w:szCs w:val="24"/>
          <w:lang w:val="fr-FR"/>
        </w:rPr>
      </w:pPr>
      <w:proofErr w:type="spellStart"/>
      <w:proofErr w:type="gramStart"/>
      <w:r w:rsidRPr="00C3521F">
        <w:rPr>
          <w:rFonts w:ascii="Times New Roman" w:hAnsi="Times New Roman"/>
          <w:sz w:val="24"/>
          <w:szCs w:val="24"/>
          <w:lang w:val="fr-FR"/>
        </w:rPr>
        <w:t>Presence</w:t>
      </w:r>
      <w:proofErr w:type="spellEnd"/>
      <w:r w:rsidRPr="00C3521F">
        <w:rPr>
          <w:rFonts w:ascii="Times New Roman" w:hAnsi="Times New Roman"/>
          <w:sz w:val="24"/>
          <w:szCs w:val="24"/>
          <w:lang w:val="fr-FR"/>
        </w:rPr>
        <w:t>:</w:t>
      </w:r>
      <w:proofErr w:type="gramEnd"/>
      <w:r w:rsidRPr="00C3521F">
        <w:rPr>
          <w:rFonts w:ascii="Times New Roman" w:hAnsi="Times New Roman"/>
          <w:sz w:val="24"/>
          <w:szCs w:val="24"/>
          <w:lang w:val="fr-FR"/>
        </w:rPr>
        <w:t xml:space="preserve"> [</w:t>
      </w:r>
      <w:proofErr w:type="gramStart"/>
      <w:r w:rsidRPr="00C3521F">
        <w:rPr>
          <w:rFonts w:ascii="Times New Roman" w:hAnsi="Times New Roman"/>
          <w:sz w:val="24"/>
          <w:szCs w:val="24"/>
          <w:lang w:val="fr-FR"/>
        </w:rPr>
        <w:t>1..</w:t>
      </w:r>
      <w:proofErr w:type="gramEnd"/>
      <w:r w:rsidRPr="00C3521F">
        <w:rPr>
          <w:rFonts w:ascii="Times New Roman" w:hAnsi="Times New Roman"/>
          <w:sz w:val="24"/>
          <w:szCs w:val="24"/>
          <w:lang w:val="fr-FR"/>
        </w:rPr>
        <w:t>1]</w:t>
      </w:r>
    </w:p>
    <w:p w14:paraId="0462CA4B" w14:textId="77777777" w:rsidR="00831BDD" w:rsidRPr="00C3521F" w:rsidRDefault="00A3435F" w:rsidP="00A3435F">
      <w:pPr>
        <w:pStyle w:val="ListParagraph"/>
        <w:numPr>
          <w:ilvl w:val="0"/>
          <w:numId w:val="26"/>
        </w:numPr>
        <w:rPr>
          <w:rFonts w:ascii="Times New Roman" w:hAnsi="Times New Roman"/>
          <w:sz w:val="24"/>
          <w:szCs w:val="24"/>
        </w:rPr>
      </w:pPr>
      <w:r w:rsidRPr="00C3521F">
        <w:rPr>
          <w:rFonts w:ascii="Times New Roman" w:hAnsi="Times New Roman"/>
          <w:sz w:val="24"/>
          <w:szCs w:val="24"/>
        </w:rPr>
        <w:t>Definition: Settlement conditions expressed as an ISO 20022 code.</w:t>
      </w:r>
    </w:p>
    <w:p w14:paraId="06D087EE" w14:textId="7D5A184A" w:rsidR="00A3435F" w:rsidRPr="00C3521F" w:rsidRDefault="00A3435F" w:rsidP="00C3521F">
      <w:pPr>
        <w:pStyle w:val="ListParagraph"/>
        <w:numPr>
          <w:ilvl w:val="0"/>
          <w:numId w:val="26"/>
        </w:numPr>
        <w:rPr>
          <w:rFonts w:ascii="Times New Roman" w:hAnsi="Times New Roman"/>
          <w:sz w:val="24"/>
          <w:szCs w:val="24"/>
        </w:rPr>
      </w:pPr>
      <w:r w:rsidRPr="00C3521F">
        <w:rPr>
          <w:rFonts w:ascii="Times New Roman" w:hAnsi="Times New Roman"/>
          <w:sz w:val="24"/>
          <w:szCs w:val="24"/>
        </w:rPr>
        <w:t>Datatype: “SettlementTransactionCondition16Code”</w:t>
      </w:r>
    </w:p>
    <w:p w14:paraId="53030E9A" w14:textId="77777777" w:rsidR="000A29F6" w:rsidRPr="00C3521F" w:rsidRDefault="000A29F6" w:rsidP="00A3435F">
      <w:pPr>
        <w:rPr>
          <w:lang w:val="en-GB"/>
        </w:rPr>
      </w:pPr>
    </w:p>
    <w:tbl>
      <w:tblPr>
        <w:tblW w:w="8260" w:type="dxa"/>
        <w:tblCellMar>
          <w:left w:w="70" w:type="dxa"/>
          <w:right w:w="70" w:type="dxa"/>
        </w:tblCellMar>
        <w:tblLook w:val="04A0" w:firstRow="1" w:lastRow="0" w:firstColumn="1" w:lastColumn="0" w:noHBand="0" w:noVBand="1"/>
      </w:tblPr>
      <w:tblGrid>
        <w:gridCol w:w="1340"/>
        <w:gridCol w:w="3460"/>
        <w:gridCol w:w="3460"/>
      </w:tblGrid>
      <w:tr w:rsidR="00A3435F" w:rsidRPr="00A3435F" w14:paraId="4B865631" w14:textId="77777777" w:rsidTr="00A3435F">
        <w:trPr>
          <w:trHeight w:val="264"/>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6E78C3F3" w14:textId="00454CBB" w:rsidR="00A3435F" w:rsidRPr="00A3435F" w:rsidRDefault="00A3435F" w:rsidP="00A3435F">
            <w:pPr>
              <w:spacing w:before="0"/>
              <w:rPr>
                <w:rFonts w:eastAsia="Times New Roman"/>
                <w:b/>
                <w:bCs/>
                <w:color w:val="000000"/>
                <w:sz w:val="20"/>
                <w:u w:val="single"/>
                <w:lang w:val="fr-FR" w:eastAsia="fr-FR"/>
              </w:rPr>
            </w:pPr>
            <w:r w:rsidRPr="00A3435F">
              <w:rPr>
                <w:rFonts w:eastAsia="Times New Roman"/>
                <w:b/>
                <w:bCs/>
                <w:color w:val="000000"/>
                <w:sz w:val="20"/>
                <w:u w:val="single"/>
                <w:lang w:val="fr-FR" w:eastAsia="fr-FR"/>
              </w:rPr>
              <w:t>Code</w:t>
            </w:r>
          </w:p>
        </w:tc>
        <w:tc>
          <w:tcPr>
            <w:tcW w:w="3460" w:type="dxa"/>
            <w:tcBorders>
              <w:top w:val="single" w:sz="4" w:space="0" w:color="auto"/>
              <w:left w:val="nil"/>
              <w:bottom w:val="single" w:sz="4" w:space="0" w:color="auto"/>
              <w:right w:val="single" w:sz="4" w:space="0" w:color="auto"/>
            </w:tcBorders>
            <w:noWrap/>
            <w:vAlign w:val="center"/>
            <w:hideMark/>
          </w:tcPr>
          <w:p w14:paraId="2A0240E2" w14:textId="3CC54828" w:rsidR="00A3435F" w:rsidRPr="00A3435F" w:rsidRDefault="000A29F6" w:rsidP="00A3435F">
            <w:pPr>
              <w:spacing w:before="0"/>
              <w:rPr>
                <w:rFonts w:eastAsia="Times New Roman"/>
                <w:b/>
                <w:bCs/>
                <w:color w:val="000000"/>
                <w:sz w:val="20"/>
                <w:u w:val="single"/>
                <w:lang w:val="fr-FR" w:eastAsia="fr-FR"/>
              </w:rPr>
            </w:pPr>
            <w:r>
              <w:rPr>
                <w:rFonts w:eastAsia="Times New Roman"/>
                <w:b/>
                <w:bCs/>
                <w:color w:val="000000"/>
                <w:sz w:val="20"/>
                <w:u w:val="single"/>
                <w:lang w:val="fr-FR" w:eastAsia="fr-FR"/>
              </w:rPr>
              <w:t>Value</w:t>
            </w:r>
          </w:p>
        </w:tc>
        <w:tc>
          <w:tcPr>
            <w:tcW w:w="3460" w:type="dxa"/>
            <w:tcBorders>
              <w:top w:val="single" w:sz="4" w:space="0" w:color="auto"/>
              <w:left w:val="nil"/>
              <w:bottom w:val="single" w:sz="4" w:space="0" w:color="auto"/>
              <w:right w:val="single" w:sz="4" w:space="0" w:color="auto"/>
            </w:tcBorders>
            <w:noWrap/>
            <w:vAlign w:val="center"/>
            <w:hideMark/>
          </w:tcPr>
          <w:p w14:paraId="337FDE77" w14:textId="77777777" w:rsidR="00A3435F" w:rsidRPr="00A3435F" w:rsidRDefault="00A3435F" w:rsidP="00A3435F">
            <w:pPr>
              <w:spacing w:before="0"/>
              <w:rPr>
                <w:rFonts w:eastAsia="Times New Roman"/>
                <w:b/>
                <w:bCs/>
                <w:color w:val="000000"/>
                <w:sz w:val="20"/>
                <w:u w:val="single"/>
                <w:lang w:val="fr-FR" w:eastAsia="fr-FR"/>
              </w:rPr>
            </w:pPr>
            <w:proofErr w:type="spellStart"/>
            <w:r w:rsidRPr="00A3435F">
              <w:rPr>
                <w:rFonts w:eastAsia="Times New Roman"/>
                <w:b/>
                <w:bCs/>
                <w:color w:val="000000"/>
                <w:sz w:val="20"/>
                <w:u w:val="single"/>
                <w:lang w:val="fr-FR" w:eastAsia="fr-FR"/>
              </w:rPr>
              <w:t>Definition</w:t>
            </w:r>
            <w:proofErr w:type="spellEnd"/>
          </w:p>
        </w:tc>
      </w:tr>
      <w:tr w:rsidR="00A3435F" w:rsidRPr="00C3521F" w14:paraId="13E69EEE"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7BA58345"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ADEA</w:t>
            </w:r>
          </w:p>
        </w:tc>
        <w:tc>
          <w:tcPr>
            <w:tcW w:w="3460" w:type="dxa"/>
            <w:tcBorders>
              <w:top w:val="nil"/>
              <w:left w:val="nil"/>
              <w:bottom w:val="single" w:sz="4" w:space="0" w:color="auto"/>
              <w:right w:val="single" w:sz="4" w:space="0" w:color="auto"/>
            </w:tcBorders>
            <w:noWrap/>
            <w:vAlign w:val="center"/>
            <w:hideMark/>
          </w:tcPr>
          <w:p w14:paraId="17A9D65F" w14:textId="3E042F6E"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Accept</w:t>
            </w:r>
            <w:r w:rsidR="000A29F6" w:rsidRPr="00C3521F">
              <w:rPr>
                <w:rFonts w:eastAsia="Times New Roman"/>
                <w:color w:val="000000"/>
                <w:sz w:val="20"/>
                <w:lang w:val="en-GB" w:eastAsia="fr-FR"/>
              </w:rPr>
              <w:t xml:space="preserve"> </w:t>
            </w:r>
            <w:r w:rsidRPr="00C3521F">
              <w:rPr>
                <w:rFonts w:eastAsia="Times New Roman"/>
                <w:color w:val="000000"/>
                <w:sz w:val="20"/>
                <w:lang w:val="en-GB" w:eastAsia="fr-FR"/>
              </w:rPr>
              <w:t>After</w:t>
            </w:r>
            <w:r w:rsidR="000A29F6" w:rsidRPr="00C3521F">
              <w:rPr>
                <w:rFonts w:eastAsia="Times New Roman"/>
                <w:color w:val="000000"/>
                <w:sz w:val="20"/>
                <w:lang w:val="en-GB" w:eastAsia="fr-FR"/>
              </w:rPr>
              <w:t xml:space="preserve"> </w:t>
            </w:r>
            <w:r w:rsidRPr="00C3521F">
              <w:rPr>
                <w:rFonts w:eastAsia="Times New Roman"/>
                <w:color w:val="000000"/>
                <w:sz w:val="20"/>
                <w:lang w:val="en-GB" w:eastAsia="fr-FR"/>
              </w:rPr>
              <w:t>Regular</w:t>
            </w:r>
            <w:r w:rsidR="000A29F6" w:rsidRPr="00C3521F">
              <w:rPr>
                <w:rFonts w:eastAsia="Times New Roman"/>
                <w:color w:val="000000"/>
                <w:sz w:val="20"/>
                <w:lang w:val="en-GB" w:eastAsia="fr-FR"/>
              </w:rPr>
              <w:t xml:space="preserve"> </w:t>
            </w:r>
            <w:r w:rsidRPr="00C3521F">
              <w:rPr>
                <w:rFonts w:eastAsia="Times New Roman"/>
                <w:color w:val="000000"/>
                <w:sz w:val="20"/>
                <w:lang w:val="en-GB" w:eastAsia="fr-FR"/>
              </w:rPr>
              <w:t>Settlement</w:t>
            </w:r>
            <w:r w:rsidR="000A29F6" w:rsidRPr="00C3521F">
              <w:rPr>
                <w:rFonts w:eastAsia="Times New Roman"/>
                <w:color w:val="000000"/>
                <w:sz w:val="20"/>
                <w:lang w:val="en-GB" w:eastAsia="fr-FR"/>
              </w:rPr>
              <w:t xml:space="preserve"> </w:t>
            </w:r>
            <w:r w:rsidRPr="00C3521F">
              <w:rPr>
                <w:rFonts w:eastAsia="Times New Roman"/>
                <w:color w:val="000000"/>
                <w:sz w:val="20"/>
                <w:lang w:val="en-GB" w:eastAsia="fr-FR"/>
              </w:rPr>
              <w:t>Deadline</w:t>
            </w:r>
          </w:p>
        </w:tc>
        <w:tc>
          <w:tcPr>
            <w:tcW w:w="3460" w:type="dxa"/>
            <w:tcBorders>
              <w:top w:val="nil"/>
              <w:left w:val="nil"/>
              <w:bottom w:val="single" w:sz="4" w:space="0" w:color="auto"/>
              <w:right w:val="single" w:sz="4" w:space="0" w:color="auto"/>
            </w:tcBorders>
            <w:vAlign w:val="center"/>
            <w:hideMark/>
          </w:tcPr>
          <w:p w14:paraId="6991A7FE"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Settlement is on a bilaterally accepted</w:t>
            </w:r>
            <w:r w:rsidRPr="00C3521F">
              <w:rPr>
                <w:rFonts w:eastAsia="Times New Roman"/>
                <w:color w:val="000000"/>
                <w:sz w:val="20"/>
                <w:lang w:val="en-GB" w:eastAsia="fr-FR"/>
              </w:rPr>
              <w:br/>
              <w:t>transaction that is to be accepted</w:t>
            </w:r>
            <w:r w:rsidRPr="00C3521F">
              <w:rPr>
                <w:rFonts w:eastAsia="Times New Roman"/>
                <w:color w:val="000000"/>
                <w:sz w:val="20"/>
                <w:lang w:val="en-GB" w:eastAsia="fr-FR"/>
              </w:rPr>
              <w:br/>
              <w:t>beyond the regular settlement deadline.</w:t>
            </w:r>
          </w:p>
        </w:tc>
      </w:tr>
      <w:tr w:rsidR="00A3435F" w:rsidRPr="00C3521F" w14:paraId="7400EBC9"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116BDA45"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ASGN</w:t>
            </w:r>
          </w:p>
        </w:tc>
        <w:tc>
          <w:tcPr>
            <w:tcW w:w="3460" w:type="dxa"/>
            <w:tcBorders>
              <w:top w:val="nil"/>
              <w:left w:val="nil"/>
              <w:bottom w:val="single" w:sz="4" w:space="0" w:color="auto"/>
              <w:right w:val="single" w:sz="4" w:space="0" w:color="auto"/>
            </w:tcBorders>
            <w:noWrap/>
            <w:vAlign w:val="center"/>
            <w:hideMark/>
          </w:tcPr>
          <w:p w14:paraId="71A13951"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Assignement</w:t>
            </w:r>
          </w:p>
        </w:tc>
        <w:tc>
          <w:tcPr>
            <w:tcW w:w="3460" w:type="dxa"/>
            <w:tcBorders>
              <w:top w:val="nil"/>
              <w:left w:val="nil"/>
              <w:bottom w:val="single" w:sz="4" w:space="0" w:color="auto"/>
              <w:right w:val="single" w:sz="4" w:space="0" w:color="auto"/>
            </w:tcBorders>
            <w:vAlign w:val="center"/>
            <w:hideMark/>
          </w:tcPr>
          <w:p w14:paraId="5120D7BA"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Transfer of ownership of the asset to</w:t>
            </w:r>
            <w:r w:rsidRPr="00C3521F">
              <w:rPr>
                <w:rFonts w:eastAsia="Times New Roman"/>
                <w:color w:val="000000"/>
                <w:sz w:val="20"/>
                <w:lang w:val="en-GB" w:eastAsia="fr-FR"/>
              </w:rPr>
              <w:br/>
              <w:t>another party during the closing of an</w:t>
            </w:r>
            <w:r w:rsidRPr="00C3521F">
              <w:rPr>
                <w:rFonts w:eastAsia="Times New Roman"/>
                <w:color w:val="000000"/>
                <w:sz w:val="20"/>
                <w:lang w:val="en-GB" w:eastAsia="fr-FR"/>
              </w:rPr>
              <w:br/>
              <w:t>option.</w:t>
            </w:r>
          </w:p>
        </w:tc>
      </w:tr>
      <w:tr w:rsidR="00A3435F" w:rsidRPr="00C3521F" w14:paraId="34AB467B" w14:textId="77777777" w:rsidTr="00A3435F">
        <w:trPr>
          <w:trHeight w:val="264"/>
        </w:trPr>
        <w:tc>
          <w:tcPr>
            <w:tcW w:w="1340" w:type="dxa"/>
            <w:tcBorders>
              <w:top w:val="nil"/>
              <w:left w:val="single" w:sz="4" w:space="0" w:color="auto"/>
              <w:bottom w:val="single" w:sz="4" w:space="0" w:color="auto"/>
              <w:right w:val="single" w:sz="4" w:space="0" w:color="auto"/>
            </w:tcBorders>
            <w:noWrap/>
            <w:vAlign w:val="center"/>
            <w:hideMark/>
          </w:tcPr>
          <w:p w14:paraId="62626977"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BUTC</w:t>
            </w:r>
          </w:p>
        </w:tc>
        <w:tc>
          <w:tcPr>
            <w:tcW w:w="3460" w:type="dxa"/>
            <w:tcBorders>
              <w:top w:val="nil"/>
              <w:left w:val="nil"/>
              <w:bottom w:val="single" w:sz="4" w:space="0" w:color="auto"/>
              <w:right w:val="single" w:sz="4" w:space="0" w:color="auto"/>
            </w:tcBorders>
            <w:noWrap/>
            <w:vAlign w:val="center"/>
            <w:hideMark/>
          </w:tcPr>
          <w:p w14:paraId="7474E659" w14:textId="18764A35"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Buy</w:t>
            </w:r>
            <w:r w:rsidR="000A29F6">
              <w:rPr>
                <w:rFonts w:eastAsia="Times New Roman"/>
                <w:color w:val="000000"/>
                <w:sz w:val="20"/>
                <w:lang w:val="fr-FR" w:eastAsia="fr-FR"/>
              </w:rPr>
              <w:t xml:space="preserve"> </w:t>
            </w:r>
            <w:r w:rsidRPr="00A3435F">
              <w:rPr>
                <w:rFonts w:eastAsia="Times New Roman"/>
                <w:color w:val="000000"/>
                <w:sz w:val="20"/>
                <w:lang w:val="fr-FR" w:eastAsia="fr-FR"/>
              </w:rPr>
              <w:t>to</w:t>
            </w:r>
            <w:r w:rsidR="000A29F6">
              <w:rPr>
                <w:rFonts w:eastAsia="Times New Roman"/>
                <w:color w:val="000000"/>
                <w:sz w:val="20"/>
                <w:lang w:val="fr-FR" w:eastAsia="fr-FR"/>
              </w:rPr>
              <w:t xml:space="preserve"> </w:t>
            </w:r>
            <w:r w:rsidRPr="00A3435F">
              <w:rPr>
                <w:rFonts w:eastAsia="Times New Roman"/>
                <w:color w:val="000000"/>
                <w:sz w:val="20"/>
                <w:lang w:val="fr-FR" w:eastAsia="fr-FR"/>
              </w:rPr>
              <w:t>Cover</w:t>
            </w:r>
          </w:p>
        </w:tc>
        <w:tc>
          <w:tcPr>
            <w:tcW w:w="3460" w:type="dxa"/>
            <w:tcBorders>
              <w:top w:val="nil"/>
              <w:left w:val="nil"/>
              <w:bottom w:val="single" w:sz="4" w:space="0" w:color="auto"/>
              <w:right w:val="single" w:sz="4" w:space="0" w:color="auto"/>
            </w:tcBorders>
            <w:noWrap/>
            <w:vAlign w:val="center"/>
            <w:hideMark/>
          </w:tcPr>
          <w:p w14:paraId="43B5E8A8"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Transaction is a buy to cover.</w:t>
            </w:r>
          </w:p>
        </w:tc>
      </w:tr>
      <w:tr w:rsidR="00A3435F" w:rsidRPr="00C3521F" w14:paraId="59ED326D"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29BBA12B"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CLEN</w:t>
            </w:r>
          </w:p>
        </w:tc>
        <w:tc>
          <w:tcPr>
            <w:tcW w:w="3460" w:type="dxa"/>
            <w:tcBorders>
              <w:top w:val="nil"/>
              <w:left w:val="nil"/>
              <w:bottom w:val="single" w:sz="4" w:space="0" w:color="auto"/>
              <w:right w:val="single" w:sz="4" w:space="0" w:color="auto"/>
            </w:tcBorders>
            <w:noWrap/>
            <w:vAlign w:val="center"/>
            <w:hideMark/>
          </w:tcPr>
          <w:p w14:paraId="1E22C936"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Clean</w:t>
            </w:r>
          </w:p>
        </w:tc>
        <w:tc>
          <w:tcPr>
            <w:tcW w:w="3460" w:type="dxa"/>
            <w:tcBorders>
              <w:top w:val="nil"/>
              <w:left w:val="nil"/>
              <w:bottom w:val="single" w:sz="4" w:space="0" w:color="auto"/>
              <w:right w:val="single" w:sz="4" w:space="0" w:color="auto"/>
            </w:tcBorders>
            <w:vAlign w:val="center"/>
            <w:hideMark/>
          </w:tcPr>
          <w:p w14:paraId="378DE73F"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Tax-exempt financial instruments are to</w:t>
            </w:r>
            <w:r w:rsidRPr="00C3521F">
              <w:rPr>
                <w:rFonts w:eastAsia="Times New Roman"/>
                <w:color w:val="000000"/>
                <w:sz w:val="20"/>
                <w:lang w:val="en-GB" w:eastAsia="fr-FR"/>
              </w:rPr>
              <w:br/>
              <w:t>be settled.</w:t>
            </w:r>
          </w:p>
        </w:tc>
      </w:tr>
      <w:tr w:rsidR="00A3435F" w:rsidRPr="00C3521F" w14:paraId="5C38DD2F" w14:textId="77777777" w:rsidTr="00A3435F">
        <w:trPr>
          <w:trHeight w:val="1320"/>
        </w:trPr>
        <w:tc>
          <w:tcPr>
            <w:tcW w:w="1340" w:type="dxa"/>
            <w:tcBorders>
              <w:top w:val="nil"/>
              <w:left w:val="single" w:sz="4" w:space="0" w:color="auto"/>
              <w:bottom w:val="single" w:sz="4" w:space="0" w:color="auto"/>
              <w:right w:val="single" w:sz="4" w:space="0" w:color="auto"/>
            </w:tcBorders>
            <w:noWrap/>
            <w:vAlign w:val="center"/>
            <w:hideMark/>
          </w:tcPr>
          <w:p w14:paraId="7BB477EE"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DLWM</w:t>
            </w:r>
          </w:p>
        </w:tc>
        <w:tc>
          <w:tcPr>
            <w:tcW w:w="3460" w:type="dxa"/>
            <w:tcBorders>
              <w:top w:val="nil"/>
              <w:left w:val="nil"/>
              <w:bottom w:val="single" w:sz="4" w:space="0" w:color="auto"/>
              <w:right w:val="single" w:sz="4" w:space="0" w:color="auto"/>
            </w:tcBorders>
            <w:noWrap/>
            <w:vAlign w:val="center"/>
            <w:hideMark/>
          </w:tcPr>
          <w:p w14:paraId="5569DAB9" w14:textId="368B0864"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Delivery</w:t>
            </w:r>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Without</w:t>
            </w:r>
            <w:proofErr w:type="spellEnd"/>
            <w:r w:rsidR="000A29F6">
              <w:rPr>
                <w:rFonts w:eastAsia="Times New Roman"/>
                <w:color w:val="000000"/>
                <w:sz w:val="20"/>
                <w:lang w:val="fr-FR" w:eastAsia="fr-FR"/>
              </w:rPr>
              <w:t xml:space="preserve"> </w:t>
            </w:r>
            <w:r w:rsidRPr="00A3435F">
              <w:rPr>
                <w:rFonts w:eastAsia="Times New Roman"/>
                <w:color w:val="000000"/>
                <w:sz w:val="20"/>
                <w:lang w:val="fr-FR" w:eastAsia="fr-FR"/>
              </w:rPr>
              <w:t>Matching</w:t>
            </w:r>
          </w:p>
        </w:tc>
        <w:tc>
          <w:tcPr>
            <w:tcW w:w="3460" w:type="dxa"/>
            <w:tcBorders>
              <w:top w:val="nil"/>
              <w:left w:val="nil"/>
              <w:bottom w:val="single" w:sz="4" w:space="0" w:color="auto"/>
              <w:right w:val="single" w:sz="4" w:space="0" w:color="auto"/>
            </w:tcBorders>
            <w:vAlign w:val="center"/>
            <w:hideMark/>
          </w:tcPr>
          <w:p w14:paraId="58F8CF63"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Matching receipt instruction not required</w:t>
            </w:r>
            <w:r w:rsidRPr="00C3521F">
              <w:rPr>
                <w:rFonts w:eastAsia="Times New Roman"/>
                <w:color w:val="000000"/>
                <w:sz w:val="20"/>
                <w:lang w:val="en-GB" w:eastAsia="fr-FR"/>
              </w:rPr>
              <w:br/>
              <w:t>(only for concerned international or</w:t>
            </w:r>
            <w:r w:rsidRPr="00C3521F">
              <w:rPr>
                <w:rFonts w:eastAsia="Times New Roman"/>
                <w:color w:val="000000"/>
                <w:sz w:val="20"/>
                <w:lang w:val="en-GB" w:eastAsia="fr-FR"/>
              </w:rPr>
              <w:br/>
              <w:t>national central securities depositories).</w:t>
            </w:r>
          </w:p>
        </w:tc>
      </w:tr>
      <w:tr w:rsidR="00A3435F" w:rsidRPr="00C3521F" w14:paraId="6DA74233"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0C8A3436"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DIRT</w:t>
            </w:r>
          </w:p>
        </w:tc>
        <w:tc>
          <w:tcPr>
            <w:tcW w:w="3460" w:type="dxa"/>
            <w:tcBorders>
              <w:top w:val="nil"/>
              <w:left w:val="nil"/>
              <w:bottom w:val="single" w:sz="4" w:space="0" w:color="auto"/>
              <w:right w:val="single" w:sz="4" w:space="0" w:color="auto"/>
            </w:tcBorders>
            <w:noWrap/>
            <w:vAlign w:val="center"/>
            <w:hideMark/>
          </w:tcPr>
          <w:p w14:paraId="2D01B0D1"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Dirty</w:t>
            </w:r>
          </w:p>
        </w:tc>
        <w:tc>
          <w:tcPr>
            <w:tcW w:w="3460" w:type="dxa"/>
            <w:tcBorders>
              <w:top w:val="nil"/>
              <w:left w:val="nil"/>
              <w:bottom w:val="single" w:sz="4" w:space="0" w:color="auto"/>
              <w:right w:val="single" w:sz="4" w:space="0" w:color="auto"/>
            </w:tcBorders>
            <w:vAlign w:val="center"/>
            <w:hideMark/>
          </w:tcPr>
          <w:p w14:paraId="34E91A6B"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Taxable financial instruments are to be</w:t>
            </w:r>
            <w:r w:rsidRPr="00C3521F">
              <w:rPr>
                <w:rFonts w:eastAsia="Times New Roman"/>
                <w:color w:val="000000"/>
                <w:sz w:val="20"/>
                <w:lang w:val="en-GB" w:eastAsia="fr-FR"/>
              </w:rPr>
              <w:br/>
              <w:t>settled.</w:t>
            </w:r>
          </w:p>
        </w:tc>
      </w:tr>
      <w:tr w:rsidR="00A3435F" w:rsidRPr="00C3521F" w14:paraId="03DC4F09"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44A39BBC"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DRAW</w:t>
            </w:r>
          </w:p>
        </w:tc>
        <w:tc>
          <w:tcPr>
            <w:tcW w:w="3460" w:type="dxa"/>
            <w:tcBorders>
              <w:top w:val="nil"/>
              <w:left w:val="nil"/>
              <w:bottom w:val="single" w:sz="4" w:space="0" w:color="auto"/>
              <w:right w:val="single" w:sz="4" w:space="0" w:color="auto"/>
            </w:tcBorders>
            <w:noWrap/>
            <w:vAlign w:val="center"/>
            <w:hideMark/>
          </w:tcPr>
          <w:p w14:paraId="539A42DA"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Drawn</w:t>
            </w:r>
            <w:proofErr w:type="spellEnd"/>
          </w:p>
        </w:tc>
        <w:tc>
          <w:tcPr>
            <w:tcW w:w="3460" w:type="dxa"/>
            <w:tcBorders>
              <w:top w:val="nil"/>
              <w:left w:val="nil"/>
              <w:bottom w:val="single" w:sz="4" w:space="0" w:color="auto"/>
              <w:right w:val="single" w:sz="4" w:space="0" w:color="auto"/>
            </w:tcBorders>
            <w:vAlign w:val="center"/>
            <w:hideMark/>
          </w:tcPr>
          <w:p w14:paraId="600390F1" w14:textId="1A01DD09"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 xml:space="preserve">Settlement transactions </w:t>
            </w:r>
            <w:r w:rsidR="00C3521F" w:rsidRPr="00C3521F">
              <w:rPr>
                <w:rFonts w:eastAsia="Times New Roman"/>
                <w:color w:val="000000"/>
                <w:sz w:val="20"/>
                <w:lang w:val="en-GB" w:eastAsia="fr-FR"/>
              </w:rPr>
              <w:t>relate</w:t>
            </w:r>
            <w:r w:rsidRPr="00C3521F">
              <w:rPr>
                <w:rFonts w:eastAsia="Times New Roman"/>
                <w:color w:val="000000"/>
                <w:sz w:val="20"/>
                <w:lang w:val="en-GB" w:eastAsia="fr-FR"/>
              </w:rPr>
              <w:t xml:space="preserve"> to drawn</w:t>
            </w:r>
            <w:r w:rsidRPr="00C3521F">
              <w:rPr>
                <w:rFonts w:eastAsia="Times New Roman"/>
                <w:color w:val="000000"/>
                <w:sz w:val="20"/>
                <w:lang w:val="en-GB" w:eastAsia="fr-FR"/>
              </w:rPr>
              <w:br/>
              <w:t>securities.</w:t>
            </w:r>
          </w:p>
        </w:tc>
      </w:tr>
      <w:tr w:rsidR="00A3435F" w:rsidRPr="00C3521F" w14:paraId="0A79A2FB" w14:textId="77777777" w:rsidTr="00A3435F">
        <w:trPr>
          <w:trHeight w:val="1056"/>
        </w:trPr>
        <w:tc>
          <w:tcPr>
            <w:tcW w:w="1340" w:type="dxa"/>
            <w:tcBorders>
              <w:top w:val="nil"/>
              <w:left w:val="single" w:sz="4" w:space="0" w:color="auto"/>
              <w:bottom w:val="single" w:sz="4" w:space="0" w:color="auto"/>
              <w:right w:val="single" w:sz="4" w:space="0" w:color="auto"/>
            </w:tcBorders>
            <w:noWrap/>
            <w:vAlign w:val="center"/>
            <w:hideMark/>
          </w:tcPr>
          <w:p w14:paraId="35D0CBCF"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EXER</w:t>
            </w:r>
          </w:p>
        </w:tc>
        <w:tc>
          <w:tcPr>
            <w:tcW w:w="3460" w:type="dxa"/>
            <w:tcBorders>
              <w:top w:val="nil"/>
              <w:left w:val="nil"/>
              <w:bottom w:val="single" w:sz="4" w:space="0" w:color="auto"/>
              <w:right w:val="single" w:sz="4" w:space="0" w:color="auto"/>
            </w:tcBorders>
            <w:noWrap/>
            <w:vAlign w:val="center"/>
            <w:hideMark/>
          </w:tcPr>
          <w:p w14:paraId="26279F3D"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Exercised</w:t>
            </w:r>
            <w:proofErr w:type="spellEnd"/>
          </w:p>
        </w:tc>
        <w:tc>
          <w:tcPr>
            <w:tcW w:w="3460" w:type="dxa"/>
            <w:tcBorders>
              <w:top w:val="nil"/>
              <w:left w:val="nil"/>
              <w:bottom w:val="single" w:sz="4" w:space="0" w:color="auto"/>
              <w:right w:val="single" w:sz="4" w:space="0" w:color="auto"/>
            </w:tcBorders>
            <w:vAlign w:val="center"/>
            <w:hideMark/>
          </w:tcPr>
          <w:p w14:paraId="5914B53C"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Settlement transaction relates to options,</w:t>
            </w:r>
            <w:r w:rsidRPr="00C3521F">
              <w:rPr>
                <w:rFonts w:eastAsia="Times New Roman"/>
                <w:color w:val="000000"/>
                <w:sz w:val="20"/>
                <w:lang w:val="en-GB" w:eastAsia="fr-FR"/>
              </w:rPr>
              <w:br/>
              <w:t>futures or derivatives that are exercised.</w:t>
            </w:r>
          </w:p>
        </w:tc>
      </w:tr>
      <w:tr w:rsidR="00A3435F" w:rsidRPr="00C3521F" w14:paraId="5A9A7990"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776E2509"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EXPI</w:t>
            </w:r>
          </w:p>
        </w:tc>
        <w:tc>
          <w:tcPr>
            <w:tcW w:w="3460" w:type="dxa"/>
            <w:tcBorders>
              <w:top w:val="nil"/>
              <w:left w:val="nil"/>
              <w:bottom w:val="single" w:sz="4" w:space="0" w:color="auto"/>
              <w:right w:val="single" w:sz="4" w:space="0" w:color="auto"/>
            </w:tcBorders>
            <w:noWrap/>
            <w:vAlign w:val="center"/>
            <w:hideMark/>
          </w:tcPr>
          <w:p w14:paraId="578FD0C4"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Expired</w:t>
            </w:r>
            <w:proofErr w:type="spellEnd"/>
          </w:p>
        </w:tc>
        <w:tc>
          <w:tcPr>
            <w:tcW w:w="3460" w:type="dxa"/>
            <w:tcBorders>
              <w:top w:val="nil"/>
              <w:left w:val="nil"/>
              <w:bottom w:val="single" w:sz="4" w:space="0" w:color="auto"/>
              <w:right w:val="single" w:sz="4" w:space="0" w:color="auto"/>
            </w:tcBorders>
            <w:vAlign w:val="center"/>
            <w:hideMark/>
          </w:tcPr>
          <w:p w14:paraId="4348CAD7"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Settlement transaction relates to options,</w:t>
            </w:r>
            <w:r w:rsidRPr="00C3521F">
              <w:rPr>
                <w:rFonts w:eastAsia="Times New Roman"/>
                <w:color w:val="000000"/>
                <w:sz w:val="20"/>
                <w:lang w:val="en-GB" w:eastAsia="fr-FR"/>
              </w:rPr>
              <w:br/>
              <w:t>futures or derivatives that have expired.</w:t>
            </w:r>
          </w:p>
        </w:tc>
      </w:tr>
      <w:tr w:rsidR="00A3435F" w:rsidRPr="00C3521F" w14:paraId="55726DF1"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733672E2"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FRCL</w:t>
            </w:r>
          </w:p>
        </w:tc>
        <w:tc>
          <w:tcPr>
            <w:tcW w:w="3460" w:type="dxa"/>
            <w:tcBorders>
              <w:top w:val="nil"/>
              <w:left w:val="nil"/>
              <w:bottom w:val="single" w:sz="4" w:space="0" w:color="auto"/>
              <w:right w:val="single" w:sz="4" w:space="0" w:color="auto"/>
            </w:tcBorders>
            <w:noWrap/>
            <w:vAlign w:val="center"/>
            <w:hideMark/>
          </w:tcPr>
          <w:p w14:paraId="0AE245AF" w14:textId="25A30162"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Free</w:t>
            </w:r>
            <w:r w:rsidR="000A29F6">
              <w:rPr>
                <w:rFonts w:eastAsia="Times New Roman"/>
                <w:color w:val="000000"/>
                <w:sz w:val="20"/>
                <w:lang w:val="fr-FR" w:eastAsia="fr-FR"/>
              </w:rPr>
              <w:t xml:space="preserve"> </w:t>
            </w:r>
            <w:r w:rsidRPr="00A3435F">
              <w:rPr>
                <w:rFonts w:eastAsia="Times New Roman"/>
                <w:color w:val="000000"/>
                <w:sz w:val="20"/>
                <w:lang w:val="fr-FR" w:eastAsia="fr-FR"/>
              </w:rPr>
              <w:t>Clean</w:t>
            </w:r>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Settlement</w:t>
            </w:r>
            <w:proofErr w:type="spellEnd"/>
          </w:p>
        </w:tc>
        <w:tc>
          <w:tcPr>
            <w:tcW w:w="3460" w:type="dxa"/>
            <w:tcBorders>
              <w:top w:val="nil"/>
              <w:left w:val="nil"/>
              <w:bottom w:val="single" w:sz="4" w:space="0" w:color="auto"/>
              <w:right w:val="single" w:sz="4" w:space="0" w:color="auto"/>
            </w:tcBorders>
            <w:vAlign w:val="center"/>
            <w:hideMark/>
          </w:tcPr>
          <w:p w14:paraId="25980E89"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Delivery will be made free of payment</w:t>
            </w:r>
            <w:r w:rsidRPr="00C3521F">
              <w:rPr>
                <w:rFonts w:eastAsia="Times New Roman"/>
                <w:color w:val="000000"/>
                <w:sz w:val="20"/>
                <w:lang w:val="en-GB" w:eastAsia="fr-FR"/>
              </w:rPr>
              <w:br/>
              <w:t>but a clean payment order will be sent.</w:t>
            </w:r>
          </w:p>
        </w:tc>
      </w:tr>
      <w:tr w:rsidR="00A3435F" w:rsidRPr="00C3521F" w14:paraId="7B5B3274" w14:textId="77777777" w:rsidTr="00A3435F">
        <w:trPr>
          <w:trHeight w:val="528"/>
        </w:trPr>
        <w:tc>
          <w:tcPr>
            <w:tcW w:w="1340" w:type="dxa"/>
            <w:tcBorders>
              <w:top w:val="nil"/>
              <w:left w:val="single" w:sz="4" w:space="0" w:color="auto"/>
              <w:bottom w:val="single" w:sz="4" w:space="0" w:color="auto"/>
              <w:right w:val="single" w:sz="4" w:space="0" w:color="auto"/>
            </w:tcBorders>
            <w:shd w:val="clear" w:color="000000" w:fill="D8E4BC"/>
            <w:noWrap/>
            <w:vAlign w:val="center"/>
            <w:hideMark/>
          </w:tcPr>
          <w:p w14:paraId="21F09E07" w14:textId="77777777" w:rsidR="00A3435F" w:rsidRPr="00A3435F" w:rsidRDefault="00A3435F" w:rsidP="00A3435F">
            <w:pPr>
              <w:spacing w:before="0"/>
              <w:rPr>
                <w:rFonts w:eastAsia="Times New Roman"/>
                <w:b/>
                <w:bCs/>
                <w:color w:val="000000"/>
                <w:sz w:val="20"/>
                <w:lang w:val="fr-FR" w:eastAsia="fr-FR"/>
              </w:rPr>
            </w:pPr>
            <w:r w:rsidRPr="00A3435F">
              <w:rPr>
                <w:rFonts w:eastAsia="Times New Roman"/>
                <w:b/>
                <w:bCs/>
                <w:color w:val="000000"/>
                <w:sz w:val="20"/>
                <w:lang w:val="fr-FR" w:eastAsia="fr-FR"/>
              </w:rPr>
              <w:t>GATE</w:t>
            </w:r>
          </w:p>
        </w:tc>
        <w:tc>
          <w:tcPr>
            <w:tcW w:w="3460" w:type="dxa"/>
            <w:tcBorders>
              <w:top w:val="nil"/>
              <w:left w:val="nil"/>
              <w:bottom w:val="single" w:sz="4" w:space="0" w:color="auto"/>
              <w:right w:val="single" w:sz="4" w:space="0" w:color="auto"/>
            </w:tcBorders>
            <w:shd w:val="clear" w:color="000000" w:fill="D8E4BC"/>
            <w:noWrap/>
            <w:vAlign w:val="center"/>
            <w:hideMark/>
          </w:tcPr>
          <w:p w14:paraId="26EB4677" w14:textId="04CD53CA" w:rsidR="00A3435F" w:rsidRPr="00A3435F" w:rsidRDefault="00A3435F" w:rsidP="00A3435F">
            <w:pPr>
              <w:spacing w:before="0"/>
              <w:rPr>
                <w:rFonts w:eastAsia="Times New Roman"/>
                <w:b/>
                <w:bCs/>
                <w:color w:val="000000"/>
                <w:sz w:val="20"/>
                <w:lang w:val="fr-FR" w:eastAsia="fr-FR"/>
              </w:rPr>
            </w:pPr>
            <w:proofErr w:type="spellStart"/>
            <w:r w:rsidRPr="00A3435F">
              <w:rPr>
                <w:rFonts w:eastAsia="Times New Roman"/>
                <w:b/>
                <w:bCs/>
                <w:color w:val="000000"/>
                <w:sz w:val="20"/>
                <w:lang w:val="fr-FR" w:eastAsia="fr-FR"/>
              </w:rPr>
              <w:t>Gating</w:t>
            </w:r>
            <w:proofErr w:type="spellEnd"/>
            <w:r w:rsidR="000A29F6">
              <w:rPr>
                <w:rFonts w:eastAsia="Times New Roman"/>
                <w:b/>
                <w:bCs/>
                <w:color w:val="000000"/>
                <w:sz w:val="20"/>
                <w:lang w:val="fr-FR" w:eastAsia="fr-FR"/>
              </w:rPr>
              <w:t xml:space="preserve"> </w:t>
            </w:r>
            <w:r w:rsidRPr="00A3435F">
              <w:rPr>
                <w:rFonts w:eastAsia="Times New Roman"/>
                <w:b/>
                <w:bCs/>
                <w:color w:val="000000"/>
                <w:sz w:val="20"/>
                <w:lang w:val="fr-FR" w:eastAsia="fr-FR"/>
              </w:rPr>
              <w:t>Event</w:t>
            </w:r>
            <w:r w:rsidR="000A29F6">
              <w:rPr>
                <w:rFonts w:eastAsia="Times New Roman"/>
                <w:b/>
                <w:bCs/>
                <w:color w:val="000000"/>
                <w:sz w:val="20"/>
                <w:lang w:val="fr-FR" w:eastAsia="fr-FR"/>
              </w:rPr>
              <w:t xml:space="preserve"> </w:t>
            </w:r>
            <w:r w:rsidRPr="00A3435F">
              <w:rPr>
                <w:rFonts w:eastAsia="Times New Roman"/>
                <w:b/>
                <w:bCs/>
                <w:color w:val="000000"/>
                <w:sz w:val="20"/>
                <w:lang w:val="fr-FR" w:eastAsia="fr-FR"/>
              </w:rPr>
              <w:t>Participation</w:t>
            </w:r>
          </w:p>
        </w:tc>
        <w:tc>
          <w:tcPr>
            <w:tcW w:w="3460" w:type="dxa"/>
            <w:tcBorders>
              <w:top w:val="nil"/>
              <w:left w:val="nil"/>
              <w:bottom w:val="single" w:sz="4" w:space="0" w:color="auto"/>
              <w:right w:val="single" w:sz="4" w:space="0" w:color="auto"/>
            </w:tcBorders>
            <w:shd w:val="clear" w:color="000000" w:fill="D8E4BC"/>
            <w:vAlign w:val="center"/>
            <w:hideMark/>
          </w:tcPr>
          <w:p w14:paraId="2AFB077E" w14:textId="77777777" w:rsidR="00A3435F" w:rsidRPr="00C3521F" w:rsidRDefault="00A3435F" w:rsidP="00A3435F">
            <w:pPr>
              <w:spacing w:before="0"/>
              <w:rPr>
                <w:rFonts w:eastAsia="Times New Roman"/>
                <w:b/>
                <w:bCs/>
                <w:color w:val="000000"/>
                <w:sz w:val="20"/>
                <w:lang w:val="en-GB" w:eastAsia="fr-FR"/>
              </w:rPr>
            </w:pPr>
            <w:r w:rsidRPr="00C3521F">
              <w:rPr>
                <w:rFonts w:eastAsia="Times New Roman"/>
                <w:b/>
                <w:bCs/>
                <w:color w:val="000000"/>
                <w:sz w:val="20"/>
                <w:lang w:val="en-GB" w:eastAsia="fr-FR"/>
              </w:rPr>
              <w:t>Gating event participation. Hold until event start time.</w:t>
            </w:r>
          </w:p>
        </w:tc>
      </w:tr>
      <w:tr w:rsidR="00A3435F" w:rsidRPr="00C3521F" w14:paraId="60A91B73" w14:textId="77777777" w:rsidTr="00A3435F">
        <w:trPr>
          <w:trHeight w:val="1320"/>
        </w:trPr>
        <w:tc>
          <w:tcPr>
            <w:tcW w:w="1340" w:type="dxa"/>
            <w:tcBorders>
              <w:top w:val="nil"/>
              <w:left w:val="single" w:sz="4" w:space="0" w:color="auto"/>
              <w:bottom w:val="single" w:sz="4" w:space="0" w:color="auto"/>
              <w:right w:val="single" w:sz="4" w:space="0" w:color="auto"/>
            </w:tcBorders>
            <w:noWrap/>
            <w:vAlign w:val="center"/>
            <w:hideMark/>
          </w:tcPr>
          <w:p w14:paraId="74AB897E"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INTS</w:t>
            </w:r>
          </w:p>
        </w:tc>
        <w:tc>
          <w:tcPr>
            <w:tcW w:w="3460" w:type="dxa"/>
            <w:tcBorders>
              <w:top w:val="nil"/>
              <w:left w:val="nil"/>
              <w:bottom w:val="single" w:sz="4" w:space="0" w:color="auto"/>
              <w:right w:val="single" w:sz="4" w:space="0" w:color="auto"/>
            </w:tcBorders>
            <w:noWrap/>
            <w:vAlign w:val="center"/>
            <w:hideMark/>
          </w:tcPr>
          <w:p w14:paraId="73C6A2A1" w14:textId="719652A3"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Internalised</w:t>
            </w:r>
            <w:proofErr w:type="spellEnd"/>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Settlement</w:t>
            </w:r>
            <w:proofErr w:type="spellEnd"/>
          </w:p>
        </w:tc>
        <w:tc>
          <w:tcPr>
            <w:tcW w:w="3460" w:type="dxa"/>
            <w:tcBorders>
              <w:top w:val="nil"/>
              <w:left w:val="nil"/>
              <w:bottom w:val="single" w:sz="4" w:space="0" w:color="auto"/>
              <w:right w:val="single" w:sz="4" w:space="0" w:color="auto"/>
            </w:tcBorders>
            <w:vAlign w:val="center"/>
            <w:hideMark/>
          </w:tcPr>
          <w:p w14:paraId="2659DE12"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The instruction was settled by the</w:t>
            </w:r>
            <w:r w:rsidRPr="00C3521F">
              <w:rPr>
                <w:rFonts w:eastAsia="Times New Roman"/>
                <w:color w:val="000000"/>
                <w:sz w:val="20"/>
                <w:lang w:val="en-GB" w:eastAsia="fr-FR"/>
              </w:rPr>
              <w:br/>
              <w:t xml:space="preserve">settlement </w:t>
            </w:r>
            <w:proofErr w:type="spellStart"/>
            <w:r w:rsidRPr="00C3521F">
              <w:rPr>
                <w:rFonts w:eastAsia="Times New Roman"/>
                <w:color w:val="000000"/>
                <w:sz w:val="20"/>
                <w:lang w:val="en-GB" w:eastAsia="fr-FR"/>
              </w:rPr>
              <w:t>internaliser</w:t>
            </w:r>
            <w:proofErr w:type="spellEnd"/>
            <w:r w:rsidRPr="00C3521F">
              <w:rPr>
                <w:rFonts w:eastAsia="Times New Roman"/>
                <w:color w:val="000000"/>
                <w:sz w:val="20"/>
                <w:lang w:val="en-GB" w:eastAsia="fr-FR"/>
              </w:rPr>
              <w:t>/account servicer</w:t>
            </w:r>
            <w:r w:rsidRPr="00C3521F">
              <w:rPr>
                <w:rFonts w:eastAsia="Times New Roman"/>
                <w:color w:val="000000"/>
                <w:sz w:val="20"/>
                <w:lang w:val="en-GB" w:eastAsia="fr-FR"/>
              </w:rPr>
              <w:br/>
              <w:t>(</w:t>
            </w:r>
            <w:proofErr w:type="spellStart"/>
            <w:r w:rsidRPr="00C3521F">
              <w:rPr>
                <w:rFonts w:eastAsia="Times New Roman"/>
                <w:color w:val="000000"/>
                <w:sz w:val="20"/>
                <w:lang w:val="en-GB" w:eastAsia="fr-FR"/>
              </w:rPr>
              <w:t>eg</w:t>
            </w:r>
            <w:proofErr w:type="spellEnd"/>
            <w:r w:rsidRPr="00C3521F">
              <w:rPr>
                <w:rFonts w:eastAsia="Times New Roman"/>
                <w:color w:val="000000"/>
                <w:sz w:val="20"/>
                <w:lang w:val="en-GB" w:eastAsia="fr-FR"/>
              </w:rPr>
              <w:t xml:space="preserve"> custodian) in its own books and not</w:t>
            </w:r>
            <w:r w:rsidRPr="00C3521F">
              <w:rPr>
                <w:rFonts w:eastAsia="Times New Roman"/>
                <w:color w:val="000000"/>
                <w:sz w:val="20"/>
                <w:lang w:val="en-GB" w:eastAsia="fr-FR"/>
              </w:rPr>
              <w:br/>
              <w:t>through a securities settlement system</w:t>
            </w:r>
            <w:r w:rsidRPr="00C3521F">
              <w:rPr>
                <w:rFonts w:eastAsia="Times New Roman"/>
                <w:color w:val="000000"/>
                <w:sz w:val="20"/>
                <w:lang w:val="en-GB" w:eastAsia="fr-FR"/>
              </w:rPr>
              <w:br/>
              <w:t>(e.g. CSD system)</w:t>
            </w:r>
          </w:p>
        </w:tc>
      </w:tr>
      <w:tr w:rsidR="00A3435F" w:rsidRPr="00C3521F" w14:paraId="461A07FA" w14:textId="77777777" w:rsidTr="00A3435F">
        <w:trPr>
          <w:trHeight w:val="1056"/>
        </w:trPr>
        <w:tc>
          <w:tcPr>
            <w:tcW w:w="1340" w:type="dxa"/>
            <w:tcBorders>
              <w:top w:val="nil"/>
              <w:left w:val="single" w:sz="4" w:space="0" w:color="auto"/>
              <w:bottom w:val="single" w:sz="4" w:space="0" w:color="auto"/>
              <w:right w:val="single" w:sz="4" w:space="0" w:color="auto"/>
            </w:tcBorders>
            <w:noWrap/>
            <w:vAlign w:val="center"/>
            <w:hideMark/>
          </w:tcPr>
          <w:p w14:paraId="528EEC7C"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KNOC</w:t>
            </w:r>
          </w:p>
        </w:tc>
        <w:tc>
          <w:tcPr>
            <w:tcW w:w="3460" w:type="dxa"/>
            <w:tcBorders>
              <w:top w:val="nil"/>
              <w:left w:val="nil"/>
              <w:bottom w:val="single" w:sz="4" w:space="0" w:color="auto"/>
              <w:right w:val="single" w:sz="4" w:space="0" w:color="auto"/>
            </w:tcBorders>
            <w:noWrap/>
            <w:vAlign w:val="center"/>
            <w:hideMark/>
          </w:tcPr>
          <w:p w14:paraId="5013257E" w14:textId="2C8958D0"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Knocked</w:t>
            </w:r>
            <w:proofErr w:type="spellEnd"/>
            <w:r w:rsidR="000A29F6">
              <w:rPr>
                <w:rFonts w:eastAsia="Times New Roman"/>
                <w:color w:val="000000"/>
                <w:sz w:val="20"/>
                <w:lang w:val="fr-FR" w:eastAsia="fr-FR"/>
              </w:rPr>
              <w:t xml:space="preserve"> </w:t>
            </w:r>
            <w:r w:rsidRPr="00A3435F">
              <w:rPr>
                <w:rFonts w:eastAsia="Times New Roman"/>
                <w:color w:val="000000"/>
                <w:sz w:val="20"/>
                <w:lang w:val="fr-FR" w:eastAsia="fr-FR"/>
              </w:rPr>
              <w:t>Out</w:t>
            </w:r>
          </w:p>
        </w:tc>
        <w:tc>
          <w:tcPr>
            <w:tcW w:w="3460" w:type="dxa"/>
            <w:tcBorders>
              <w:top w:val="nil"/>
              <w:left w:val="nil"/>
              <w:bottom w:val="single" w:sz="4" w:space="0" w:color="auto"/>
              <w:right w:val="single" w:sz="4" w:space="0" w:color="auto"/>
            </w:tcBorders>
            <w:vAlign w:val="center"/>
            <w:hideMark/>
          </w:tcPr>
          <w:p w14:paraId="09922174"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Settlement transaction relates to options,</w:t>
            </w:r>
            <w:r w:rsidRPr="00C3521F">
              <w:rPr>
                <w:rFonts w:eastAsia="Times New Roman"/>
                <w:color w:val="000000"/>
                <w:sz w:val="20"/>
                <w:lang w:val="en-GB" w:eastAsia="fr-FR"/>
              </w:rPr>
              <w:br/>
              <w:t>futures or derivatives that are expired</w:t>
            </w:r>
            <w:r w:rsidRPr="00C3521F">
              <w:rPr>
                <w:rFonts w:eastAsia="Times New Roman"/>
                <w:color w:val="000000"/>
                <w:sz w:val="20"/>
                <w:lang w:val="en-GB" w:eastAsia="fr-FR"/>
              </w:rPr>
              <w:br/>
              <w:t>worthless.</w:t>
            </w:r>
          </w:p>
        </w:tc>
      </w:tr>
      <w:tr w:rsidR="00A3435F" w:rsidRPr="00C3521F" w14:paraId="1EA67D3E"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6FB0DB6F"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NOMC</w:t>
            </w:r>
          </w:p>
        </w:tc>
        <w:tc>
          <w:tcPr>
            <w:tcW w:w="3460" w:type="dxa"/>
            <w:tcBorders>
              <w:top w:val="nil"/>
              <w:left w:val="nil"/>
              <w:bottom w:val="single" w:sz="4" w:space="0" w:color="auto"/>
              <w:right w:val="single" w:sz="4" w:space="0" w:color="auto"/>
            </w:tcBorders>
            <w:noWrap/>
            <w:vAlign w:val="center"/>
            <w:hideMark/>
          </w:tcPr>
          <w:p w14:paraId="6EDF1474" w14:textId="7A45AE3F"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No</w:t>
            </w:r>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Automatic</w:t>
            </w:r>
            <w:proofErr w:type="spellEnd"/>
            <w:r w:rsidR="000A29F6">
              <w:rPr>
                <w:rFonts w:eastAsia="Times New Roman"/>
                <w:color w:val="000000"/>
                <w:sz w:val="20"/>
                <w:lang w:val="fr-FR" w:eastAsia="fr-FR"/>
              </w:rPr>
              <w:t xml:space="preserve"> </w:t>
            </w:r>
            <w:r w:rsidRPr="00A3435F">
              <w:rPr>
                <w:rFonts w:eastAsia="Times New Roman"/>
                <w:color w:val="000000"/>
                <w:sz w:val="20"/>
                <w:lang w:val="fr-FR" w:eastAsia="fr-FR"/>
              </w:rPr>
              <w:t>Market</w:t>
            </w:r>
            <w:r w:rsidR="000A29F6">
              <w:rPr>
                <w:rFonts w:eastAsia="Times New Roman"/>
                <w:color w:val="000000"/>
                <w:sz w:val="20"/>
                <w:lang w:val="fr-FR" w:eastAsia="fr-FR"/>
              </w:rPr>
              <w:t xml:space="preserve"> </w:t>
            </w:r>
            <w:r w:rsidRPr="00A3435F">
              <w:rPr>
                <w:rFonts w:eastAsia="Times New Roman"/>
                <w:color w:val="000000"/>
                <w:sz w:val="20"/>
                <w:lang w:val="fr-FR" w:eastAsia="fr-FR"/>
              </w:rPr>
              <w:t>Claim</w:t>
            </w:r>
          </w:p>
        </w:tc>
        <w:tc>
          <w:tcPr>
            <w:tcW w:w="3460" w:type="dxa"/>
            <w:tcBorders>
              <w:top w:val="nil"/>
              <w:left w:val="nil"/>
              <w:bottom w:val="single" w:sz="4" w:space="0" w:color="auto"/>
              <w:right w:val="single" w:sz="4" w:space="0" w:color="auto"/>
            </w:tcBorders>
            <w:vAlign w:val="center"/>
            <w:hideMark/>
          </w:tcPr>
          <w:p w14:paraId="7F208BF7"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No market claim should be automatically</w:t>
            </w:r>
            <w:r w:rsidRPr="00C3521F">
              <w:rPr>
                <w:rFonts w:eastAsia="Times New Roman"/>
                <w:color w:val="000000"/>
                <w:sz w:val="20"/>
                <w:lang w:val="en-GB" w:eastAsia="fr-FR"/>
              </w:rPr>
              <w:br/>
              <w:t>generated.</w:t>
            </w:r>
          </w:p>
        </w:tc>
      </w:tr>
      <w:tr w:rsidR="00A3435F" w:rsidRPr="00C3521F" w14:paraId="6DE57CCB"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741F6666"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NACT</w:t>
            </w:r>
          </w:p>
        </w:tc>
        <w:tc>
          <w:tcPr>
            <w:tcW w:w="3460" w:type="dxa"/>
            <w:tcBorders>
              <w:top w:val="nil"/>
              <w:left w:val="nil"/>
              <w:bottom w:val="single" w:sz="4" w:space="0" w:color="auto"/>
              <w:right w:val="single" w:sz="4" w:space="0" w:color="auto"/>
            </w:tcBorders>
            <w:noWrap/>
            <w:vAlign w:val="center"/>
            <w:hideMark/>
          </w:tcPr>
          <w:p w14:paraId="73A83DB4" w14:textId="5BAA188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 xml:space="preserve"> Not</w:t>
            </w:r>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Accounting</w:t>
            </w:r>
            <w:proofErr w:type="spellEnd"/>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Related</w:t>
            </w:r>
            <w:proofErr w:type="spellEnd"/>
          </w:p>
        </w:tc>
        <w:tc>
          <w:tcPr>
            <w:tcW w:w="3460" w:type="dxa"/>
            <w:tcBorders>
              <w:top w:val="nil"/>
              <w:left w:val="nil"/>
              <w:bottom w:val="single" w:sz="4" w:space="0" w:color="auto"/>
              <w:right w:val="single" w:sz="4" w:space="0" w:color="auto"/>
            </w:tcBorders>
            <w:vAlign w:val="center"/>
            <w:hideMark/>
          </w:tcPr>
          <w:p w14:paraId="18541CE7"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Security transaction is not for</w:t>
            </w:r>
            <w:r w:rsidRPr="00C3521F">
              <w:rPr>
                <w:rFonts w:eastAsia="Times New Roman"/>
                <w:color w:val="000000"/>
                <w:sz w:val="20"/>
                <w:lang w:val="en-GB" w:eastAsia="fr-FR"/>
              </w:rPr>
              <w:br/>
              <w:t>accounting.</w:t>
            </w:r>
          </w:p>
        </w:tc>
      </w:tr>
      <w:tr w:rsidR="00A3435F" w:rsidRPr="00C3521F" w14:paraId="2CC969FC"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17F15E67"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BPSS</w:t>
            </w:r>
          </w:p>
        </w:tc>
        <w:tc>
          <w:tcPr>
            <w:tcW w:w="3460" w:type="dxa"/>
            <w:tcBorders>
              <w:top w:val="nil"/>
              <w:left w:val="nil"/>
              <w:bottom w:val="single" w:sz="4" w:space="0" w:color="auto"/>
              <w:right w:val="single" w:sz="4" w:space="0" w:color="auto"/>
            </w:tcBorders>
            <w:noWrap/>
            <w:vAlign w:val="center"/>
            <w:hideMark/>
          </w:tcPr>
          <w:p w14:paraId="21BF4334" w14:textId="782CE40C"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Partial</w:t>
            </w:r>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Successful</w:t>
            </w:r>
            <w:proofErr w:type="spellEnd"/>
            <w:r w:rsidR="000A29F6">
              <w:rPr>
                <w:rFonts w:eastAsia="Times New Roman"/>
                <w:color w:val="000000"/>
                <w:sz w:val="20"/>
                <w:lang w:val="fr-FR" w:eastAsia="fr-FR"/>
              </w:rPr>
              <w:t xml:space="preserve"> </w:t>
            </w:r>
            <w:r w:rsidRPr="00A3435F">
              <w:rPr>
                <w:rFonts w:eastAsia="Times New Roman"/>
                <w:color w:val="000000"/>
                <w:sz w:val="20"/>
                <w:lang w:val="fr-FR" w:eastAsia="fr-FR"/>
              </w:rPr>
              <w:t>Buy</w:t>
            </w:r>
            <w:r w:rsidR="000A29F6">
              <w:rPr>
                <w:rFonts w:eastAsia="Times New Roman"/>
                <w:color w:val="000000"/>
                <w:sz w:val="20"/>
                <w:lang w:val="fr-FR" w:eastAsia="fr-FR"/>
              </w:rPr>
              <w:t xml:space="preserve"> </w:t>
            </w:r>
            <w:r w:rsidRPr="00A3435F">
              <w:rPr>
                <w:rFonts w:eastAsia="Times New Roman"/>
                <w:color w:val="000000"/>
                <w:sz w:val="20"/>
                <w:lang w:val="fr-FR" w:eastAsia="fr-FR"/>
              </w:rPr>
              <w:t>In</w:t>
            </w:r>
          </w:p>
        </w:tc>
        <w:tc>
          <w:tcPr>
            <w:tcW w:w="3460" w:type="dxa"/>
            <w:tcBorders>
              <w:top w:val="nil"/>
              <w:left w:val="nil"/>
              <w:bottom w:val="single" w:sz="4" w:space="0" w:color="auto"/>
              <w:right w:val="single" w:sz="4" w:space="0" w:color="auto"/>
            </w:tcBorders>
            <w:vAlign w:val="center"/>
            <w:hideMark/>
          </w:tcPr>
          <w:p w14:paraId="4181D4B1"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Identification of settlement instructions</w:t>
            </w:r>
            <w:r w:rsidRPr="00C3521F">
              <w:rPr>
                <w:rFonts w:eastAsia="Times New Roman"/>
                <w:color w:val="000000"/>
                <w:sz w:val="20"/>
                <w:lang w:val="en-GB" w:eastAsia="fr-FR"/>
              </w:rPr>
              <w:br/>
              <w:t xml:space="preserve">created </w:t>
            </w:r>
            <w:proofErr w:type="gramStart"/>
            <w:r w:rsidRPr="00C3521F">
              <w:rPr>
                <w:rFonts w:eastAsia="Times New Roman"/>
                <w:color w:val="000000"/>
                <w:sz w:val="20"/>
                <w:lang w:val="en-GB" w:eastAsia="fr-FR"/>
              </w:rPr>
              <w:t>as a result of</w:t>
            </w:r>
            <w:proofErr w:type="gramEnd"/>
            <w:r w:rsidRPr="00C3521F">
              <w:rPr>
                <w:rFonts w:eastAsia="Times New Roman"/>
                <w:color w:val="000000"/>
                <w:sz w:val="20"/>
                <w:lang w:val="en-GB" w:eastAsia="fr-FR"/>
              </w:rPr>
              <w:t xml:space="preserve"> a partial successful</w:t>
            </w:r>
            <w:r w:rsidRPr="00C3521F">
              <w:rPr>
                <w:rFonts w:eastAsia="Times New Roman"/>
                <w:color w:val="000000"/>
                <w:sz w:val="20"/>
                <w:lang w:val="en-GB" w:eastAsia="fr-FR"/>
              </w:rPr>
              <w:br/>
              <w:t>buy-in.</w:t>
            </w:r>
          </w:p>
        </w:tc>
      </w:tr>
      <w:tr w:rsidR="00A3435F" w:rsidRPr="00C3521F" w14:paraId="338B2ADF" w14:textId="77777777" w:rsidTr="00A3435F">
        <w:trPr>
          <w:trHeight w:val="1056"/>
        </w:trPr>
        <w:tc>
          <w:tcPr>
            <w:tcW w:w="1340" w:type="dxa"/>
            <w:tcBorders>
              <w:top w:val="nil"/>
              <w:left w:val="single" w:sz="4" w:space="0" w:color="auto"/>
              <w:bottom w:val="single" w:sz="4" w:space="0" w:color="auto"/>
              <w:right w:val="single" w:sz="4" w:space="0" w:color="auto"/>
            </w:tcBorders>
            <w:noWrap/>
            <w:vAlign w:val="center"/>
            <w:hideMark/>
          </w:tcPr>
          <w:p w14:paraId="45F3C0AA"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lastRenderedPageBreak/>
              <w:t>PENS</w:t>
            </w:r>
          </w:p>
        </w:tc>
        <w:tc>
          <w:tcPr>
            <w:tcW w:w="3460" w:type="dxa"/>
            <w:tcBorders>
              <w:top w:val="nil"/>
              <w:left w:val="nil"/>
              <w:bottom w:val="single" w:sz="4" w:space="0" w:color="auto"/>
              <w:right w:val="single" w:sz="4" w:space="0" w:color="auto"/>
            </w:tcBorders>
            <w:noWrap/>
            <w:vAlign w:val="center"/>
            <w:hideMark/>
          </w:tcPr>
          <w:p w14:paraId="3333049D" w14:textId="234F6644"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Pending</w:t>
            </w:r>
            <w:proofErr w:type="spellEnd"/>
            <w:r w:rsidR="000A29F6">
              <w:rPr>
                <w:rFonts w:eastAsia="Times New Roman"/>
                <w:color w:val="000000"/>
                <w:sz w:val="20"/>
                <w:lang w:val="fr-FR" w:eastAsia="fr-FR"/>
              </w:rPr>
              <w:t xml:space="preserve"> </w:t>
            </w:r>
            <w:r w:rsidRPr="00A3435F">
              <w:rPr>
                <w:rFonts w:eastAsia="Times New Roman"/>
                <w:color w:val="000000"/>
                <w:sz w:val="20"/>
                <w:lang w:val="fr-FR" w:eastAsia="fr-FR"/>
              </w:rPr>
              <w:t>Sale</w:t>
            </w:r>
          </w:p>
        </w:tc>
        <w:tc>
          <w:tcPr>
            <w:tcW w:w="3460" w:type="dxa"/>
            <w:tcBorders>
              <w:top w:val="nil"/>
              <w:left w:val="nil"/>
              <w:bottom w:val="single" w:sz="4" w:space="0" w:color="auto"/>
              <w:right w:val="single" w:sz="4" w:space="0" w:color="auto"/>
            </w:tcBorders>
            <w:vAlign w:val="center"/>
            <w:hideMark/>
          </w:tcPr>
          <w:p w14:paraId="4744C01E"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Position to cover the pending sale will be</w:t>
            </w:r>
            <w:r w:rsidRPr="00C3521F">
              <w:rPr>
                <w:rFonts w:eastAsia="Times New Roman"/>
                <w:color w:val="000000"/>
                <w:sz w:val="20"/>
                <w:lang w:val="en-GB" w:eastAsia="fr-FR"/>
              </w:rPr>
              <w:br/>
              <w:t>available by contractual settlement date</w:t>
            </w:r>
            <w:r w:rsidRPr="00C3521F">
              <w:rPr>
                <w:rFonts w:eastAsia="Times New Roman"/>
                <w:color w:val="000000"/>
                <w:sz w:val="20"/>
                <w:lang w:val="en-GB" w:eastAsia="fr-FR"/>
              </w:rPr>
              <w:br/>
              <w:t>(accounting information).</w:t>
            </w:r>
          </w:p>
        </w:tc>
      </w:tr>
      <w:tr w:rsidR="00A3435F" w:rsidRPr="00C3521F" w14:paraId="1E06032B" w14:textId="77777777" w:rsidTr="00A3435F">
        <w:trPr>
          <w:trHeight w:val="264"/>
        </w:trPr>
        <w:tc>
          <w:tcPr>
            <w:tcW w:w="1340" w:type="dxa"/>
            <w:tcBorders>
              <w:top w:val="nil"/>
              <w:left w:val="single" w:sz="4" w:space="0" w:color="auto"/>
              <w:bottom w:val="single" w:sz="4" w:space="0" w:color="auto"/>
              <w:right w:val="single" w:sz="4" w:space="0" w:color="auto"/>
            </w:tcBorders>
            <w:noWrap/>
            <w:vAlign w:val="center"/>
            <w:hideMark/>
          </w:tcPr>
          <w:p w14:paraId="7CF87D08"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PHYS</w:t>
            </w:r>
          </w:p>
        </w:tc>
        <w:tc>
          <w:tcPr>
            <w:tcW w:w="3460" w:type="dxa"/>
            <w:tcBorders>
              <w:top w:val="nil"/>
              <w:left w:val="nil"/>
              <w:bottom w:val="single" w:sz="4" w:space="0" w:color="auto"/>
              <w:right w:val="single" w:sz="4" w:space="0" w:color="auto"/>
            </w:tcBorders>
            <w:noWrap/>
            <w:vAlign w:val="center"/>
            <w:hideMark/>
          </w:tcPr>
          <w:p w14:paraId="63E19BCF"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Physical</w:t>
            </w:r>
          </w:p>
        </w:tc>
        <w:tc>
          <w:tcPr>
            <w:tcW w:w="3460" w:type="dxa"/>
            <w:tcBorders>
              <w:top w:val="nil"/>
              <w:left w:val="nil"/>
              <w:bottom w:val="single" w:sz="4" w:space="0" w:color="auto"/>
              <w:right w:val="single" w:sz="4" w:space="0" w:color="auto"/>
            </w:tcBorders>
            <w:noWrap/>
            <w:vAlign w:val="center"/>
            <w:hideMark/>
          </w:tcPr>
          <w:p w14:paraId="6123306F"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Securities are to be physically settled.</w:t>
            </w:r>
          </w:p>
        </w:tc>
      </w:tr>
      <w:tr w:rsidR="00A3435F" w:rsidRPr="00C3521F" w14:paraId="02514946" w14:textId="77777777" w:rsidTr="00A3435F">
        <w:trPr>
          <w:trHeight w:val="1056"/>
        </w:trPr>
        <w:tc>
          <w:tcPr>
            <w:tcW w:w="1340" w:type="dxa"/>
            <w:tcBorders>
              <w:top w:val="nil"/>
              <w:left w:val="single" w:sz="4" w:space="0" w:color="auto"/>
              <w:bottom w:val="single" w:sz="4" w:space="0" w:color="auto"/>
              <w:right w:val="single" w:sz="4" w:space="0" w:color="auto"/>
            </w:tcBorders>
            <w:noWrap/>
            <w:vAlign w:val="center"/>
            <w:hideMark/>
          </w:tcPr>
          <w:p w14:paraId="67B45139"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RHYP</w:t>
            </w:r>
          </w:p>
        </w:tc>
        <w:tc>
          <w:tcPr>
            <w:tcW w:w="3460" w:type="dxa"/>
            <w:tcBorders>
              <w:top w:val="nil"/>
              <w:left w:val="nil"/>
              <w:bottom w:val="single" w:sz="4" w:space="0" w:color="auto"/>
              <w:right w:val="single" w:sz="4" w:space="0" w:color="auto"/>
            </w:tcBorders>
            <w:noWrap/>
            <w:vAlign w:val="center"/>
            <w:hideMark/>
          </w:tcPr>
          <w:p w14:paraId="0B9CF84A"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Rehypothecation</w:t>
            </w:r>
            <w:proofErr w:type="spellEnd"/>
          </w:p>
        </w:tc>
        <w:tc>
          <w:tcPr>
            <w:tcW w:w="3460" w:type="dxa"/>
            <w:tcBorders>
              <w:top w:val="nil"/>
              <w:left w:val="nil"/>
              <w:bottom w:val="single" w:sz="4" w:space="0" w:color="auto"/>
              <w:right w:val="single" w:sz="4" w:space="0" w:color="auto"/>
            </w:tcBorders>
            <w:vAlign w:val="center"/>
            <w:hideMark/>
          </w:tcPr>
          <w:p w14:paraId="1FEDD6AC"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Collateral position is available for other</w:t>
            </w:r>
            <w:r w:rsidRPr="00C3521F">
              <w:rPr>
                <w:rFonts w:eastAsia="Times New Roman"/>
                <w:color w:val="000000"/>
                <w:sz w:val="20"/>
                <w:lang w:val="en-GB" w:eastAsia="fr-FR"/>
              </w:rPr>
              <w:br/>
              <w:t>purposes (for example, onwards</w:t>
            </w:r>
            <w:r w:rsidRPr="00C3521F">
              <w:rPr>
                <w:rFonts w:eastAsia="Times New Roman"/>
                <w:color w:val="000000"/>
                <w:sz w:val="20"/>
                <w:lang w:val="en-GB" w:eastAsia="fr-FR"/>
              </w:rPr>
              <w:br/>
              <w:t>delivery).</w:t>
            </w:r>
          </w:p>
        </w:tc>
      </w:tr>
      <w:tr w:rsidR="00A3435F" w:rsidRPr="00C3521F" w14:paraId="3A7B6B18"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0374AC2B"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RPTO</w:t>
            </w:r>
          </w:p>
        </w:tc>
        <w:tc>
          <w:tcPr>
            <w:tcW w:w="3460" w:type="dxa"/>
            <w:tcBorders>
              <w:top w:val="nil"/>
              <w:left w:val="nil"/>
              <w:bottom w:val="single" w:sz="4" w:space="0" w:color="auto"/>
              <w:right w:val="single" w:sz="4" w:space="0" w:color="auto"/>
            </w:tcBorders>
            <w:noWrap/>
            <w:vAlign w:val="center"/>
            <w:hideMark/>
          </w:tcPr>
          <w:p w14:paraId="2DFDA7C5"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Reporting</w:t>
            </w:r>
          </w:p>
        </w:tc>
        <w:tc>
          <w:tcPr>
            <w:tcW w:w="3460" w:type="dxa"/>
            <w:tcBorders>
              <w:top w:val="nil"/>
              <w:left w:val="nil"/>
              <w:bottom w:val="single" w:sz="4" w:space="0" w:color="auto"/>
              <w:right w:val="single" w:sz="4" w:space="0" w:color="auto"/>
            </w:tcBorders>
            <w:vAlign w:val="center"/>
            <w:hideMark/>
          </w:tcPr>
          <w:p w14:paraId="7719F93C"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Relates to a transaction that is for</w:t>
            </w:r>
            <w:r w:rsidRPr="00C3521F">
              <w:rPr>
                <w:rFonts w:eastAsia="Times New Roman"/>
                <w:color w:val="000000"/>
                <w:sz w:val="20"/>
                <w:lang w:val="en-GB" w:eastAsia="fr-FR"/>
              </w:rPr>
              <w:br/>
              <w:t>reporting purposes only.</w:t>
            </w:r>
          </w:p>
        </w:tc>
      </w:tr>
      <w:tr w:rsidR="00A3435F" w:rsidRPr="00C3521F" w14:paraId="70BF985E" w14:textId="77777777" w:rsidTr="00A3435F">
        <w:trPr>
          <w:trHeight w:val="1584"/>
        </w:trPr>
        <w:tc>
          <w:tcPr>
            <w:tcW w:w="1340" w:type="dxa"/>
            <w:tcBorders>
              <w:top w:val="nil"/>
              <w:left w:val="single" w:sz="4" w:space="0" w:color="auto"/>
              <w:bottom w:val="single" w:sz="4" w:space="0" w:color="auto"/>
              <w:right w:val="single" w:sz="4" w:space="0" w:color="auto"/>
            </w:tcBorders>
            <w:noWrap/>
            <w:vAlign w:val="center"/>
            <w:hideMark/>
          </w:tcPr>
          <w:p w14:paraId="2BC8565B"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RESI</w:t>
            </w:r>
          </w:p>
        </w:tc>
        <w:tc>
          <w:tcPr>
            <w:tcW w:w="3460" w:type="dxa"/>
            <w:tcBorders>
              <w:top w:val="nil"/>
              <w:left w:val="nil"/>
              <w:bottom w:val="single" w:sz="4" w:space="0" w:color="auto"/>
              <w:right w:val="single" w:sz="4" w:space="0" w:color="auto"/>
            </w:tcBorders>
            <w:noWrap/>
            <w:vAlign w:val="center"/>
            <w:hideMark/>
          </w:tcPr>
          <w:p w14:paraId="3FA5A458"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Residual</w:t>
            </w:r>
            <w:proofErr w:type="spellEnd"/>
          </w:p>
        </w:tc>
        <w:tc>
          <w:tcPr>
            <w:tcW w:w="3460" w:type="dxa"/>
            <w:tcBorders>
              <w:top w:val="nil"/>
              <w:left w:val="nil"/>
              <w:bottom w:val="single" w:sz="4" w:space="0" w:color="auto"/>
              <w:right w:val="single" w:sz="4" w:space="0" w:color="auto"/>
            </w:tcBorders>
            <w:vAlign w:val="center"/>
            <w:hideMark/>
          </w:tcPr>
          <w:p w14:paraId="509EA227"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Relates to transaction on a security that</w:t>
            </w:r>
            <w:r w:rsidRPr="00C3521F">
              <w:rPr>
                <w:rFonts w:eastAsia="Times New Roman"/>
                <w:color w:val="000000"/>
                <w:sz w:val="20"/>
                <w:lang w:val="en-GB" w:eastAsia="fr-FR"/>
              </w:rPr>
              <w:br/>
              <w:t>is not eligible at the Central Security</w:t>
            </w:r>
            <w:r w:rsidRPr="00C3521F">
              <w:rPr>
                <w:rFonts w:eastAsia="Times New Roman"/>
                <w:color w:val="000000"/>
                <w:sz w:val="20"/>
                <w:lang w:val="en-GB" w:eastAsia="fr-FR"/>
              </w:rPr>
              <w:br/>
              <w:t>Depository (CSD) but for which the</w:t>
            </w:r>
            <w:r w:rsidRPr="00C3521F">
              <w:rPr>
                <w:rFonts w:eastAsia="Times New Roman"/>
                <w:color w:val="000000"/>
                <w:sz w:val="20"/>
                <w:lang w:val="en-GB" w:eastAsia="fr-FR"/>
              </w:rPr>
              <w:br/>
              <w:t>payment will be enacted by the central</w:t>
            </w:r>
            <w:r w:rsidRPr="00C3521F">
              <w:rPr>
                <w:rFonts w:eastAsia="Times New Roman"/>
                <w:color w:val="000000"/>
                <w:sz w:val="20"/>
                <w:lang w:val="en-GB" w:eastAsia="fr-FR"/>
              </w:rPr>
              <w:br/>
              <w:t>securities depository.</w:t>
            </w:r>
          </w:p>
        </w:tc>
      </w:tr>
      <w:tr w:rsidR="00A3435F" w:rsidRPr="00C3521F" w14:paraId="233BAF92" w14:textId="77777777" w:rsidTr="00A3435F">
        <w:trPr>
          <w:trHeight w:val="264"/>
        </w:trPr>
        <w:tc>
          <w:tcPr>
            <w:tcW w:w="1340" w:type="dxa"/>
            <w:tcBorders>
              <w:top w:val="nil"/>
              <w:left w:val="single" w:sz="4" w:space="0" w:color="auto"/>
              <w:bottom w:val="single" w:sz="4" w:space="0" w:color="auto"/>
              <w:right w:val="single" w:sz="4" w:space="0" w:color="auto"/>
            </w:tcBorders>
            <w:noWrap/>
            <w:vAlign w:val="center"/>
            <w:hideMark/>
          </w:tcPr>
          <w:p w14:paraId="01454510"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SHOR</w:t>
            </w:r>
          </w:p>
        </w:tc>
        <w:tc>
          <w:tcPr>
            <w:tcW w:w="3460" w:type="dxa"/>
            <w:tcBorders>
              <w:top w:val="nil"/>
              <w:left w:val="nil"/>
              <w:bottom w:val="single" w:sz="4" w:space="0" w:color="auto"/>
              <w:right w:val="single" w:sz="4" w:space="0" w:color="auto"/>
            </w:tcBorders>
            <w:noWrap/>
            <w:vAlign w:val="center"/>
            <w:hideMark/>
          </w:tcPr>
          <w:p w14:paraId="5977347A"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ShortSell</w:t>
            </w:r>
            <w:proofErr w:type="spellEnd"/>
          </w:p>
        </w:tc>
        <w:tc>
          <w:tcPr>
            <w:tcW w:w="3460" w:type="dxa"/>
            <w:tcBorders>
              <w:top w:val="nil"/>
              <w:left w:val="nil"/>
              <w:bottom w:val="single" w:sz="4" w:space="0" w:color="auto"/>
              <w:right w:val="single" w:sz="4" w:space="0" w:color="auto"/>
            </w:tcBorders>
            <w:noWrap/>
            <w:vAlign w:val="center"/>
            <w:hideMark/>
          </w:tcPr>
          <w:p w14:paraId="4D2518F8"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Account is used for short sale orders.</w:t>
            </w:r>
          </w:p>
        </w:tc>
      </w:tr>
      <w:tr w:rsidR="00A3435F" w:rsidRPr="00C3521F" w14:paraId="046B15F0"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43CB46D6"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SPDL</w:t>
            </w:r>
          </w:p>
        </w:tc>
        <w:tc>
          <w:tcPr>
            <w:tcW w:w="3460" w:type="dxa"/>
            <w:tcBorders>
              <w:top w:val="nil"/>
              <w:left w:val="nil"/>
              <w:bottom w:val="single" w:sz="4" w:space="0" w:color="auto"/>
              <w:right w:val="single" w:sz="4" w:space="0" w:color="auto"/>
            </w:tcBorders>
            <w:noWrap/>
            <w:vAlign w:val="center"/>
            <w:hideMark/>
          </w:tcPr>
          <w:p w14:paraId="68694E91" w14:textId="1E2D6324"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Special</w:t>
            </w:r>
            <w:r w:rsidR="000A29F6">
              <w:rPr>
                <w:rFonts w:eastAsia="Times New Roman"/>
                <w:color w:val="000000"/>
                <w:sz w:val="20"/>
                <w:lang w:val="fr-FR" w:eastAsia="fr-FR"/>
              </w:rPr>
              <w:t xml:space="preserve"> </w:t>
            </w:r>
            <w:r w:rsidRPr="00A3435F">
              <w:rPr>
                <w:rFonts w:eastAsia="Times New Roman"/>
                <w:color w:val="000000"/>
                <w:sz w:val="20"/>
                <w:lang w:val="fr-FR" w:eastAsia="fr-FR"/>
              </w:rPr>
              <w:t>Delivery</w:t>
            </w:r>
          </w:p>
        </w:tc>
        <w:tc>
          <w:tcPr>
            <w:tcW w:w="3460" w:type="dxa"/>
            <w:tcBorders>
              <w:top w:val="nil"/>
              <w:left w:val="nil"/>
              <w:bottom w:val="single" w:sz="4" w:space="0" w:color="auto"/>
              <w:right w:val="single" w:sz="4" w:space="0" w:color="auto"/>
            </w:tcBorders>
            <w:vAlign w:val="center"/>
            <w:hideMark/>
          </w:tcPr>
          <w:p w14:paraId="2AF7EDD0"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Settlement transactions to be settled</w:t>
            </w:r>
            <w:r w:rsidRPr="00C3521F">
              <w:rPr>
                <w:rFonts w:eastAsia="Times New Roman"/>
                <w:color w:val="000000"/>
                <w:sz w:val="20"/>
                <w:lang w:val="en-GB" w:eastAsia="fr-FR"/>
              </w:rPr>
              <w:br/>
              <w:t>with special delivery.</w:t>
            </w:r>
          </w:p>
        </w:tc>
      </w:tr>
      <w:tr w:rsidR="00A3435F" w:rsidRPr="00C3521F" w14:paraId="10648118"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1B3555B5"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SPST</w:t>
            </w:r>
          </w:p>
        </w:tc>
        <w:tc>
          <w:tcPr>
            <w:tcW w:w="3460" w:type="dxa"/>
            <w:tcBorders>
              <w:top w:val="nil"/>
              <w:left w:val="nil"/>
              <w:bottom w:val="single" w:sz="4" w:space="0" w:color="auto"/>
              <w:right w:val="single" w:sz="4" w:space="0" w:color="auto"/>
            </w:tcBorders>
            <w:noWrap/>
            <w:vAlign w:val="center"/>
            <w:hideMark/>
          </w:tcPr>
          <w:p w14:paraId="6825B919" w14:textId="6C9A9E63"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Split</w:t>
            </w:r>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Settlement</w:t>
            </w:r>
            <w:proofErr w:type="spellEnd"/>
          </w:p>
        </w:tc>
        <w:tc>
          <w:tcPr>
            <w:tcW w:w="3460" w:type="dxa"/>
            <w:tcBorders>
              <w:top w:val="nil"/>
              <w:left w:val="nil"/>
              <w:bottom w:val="single" w:sz="4" w:space="0" w:color="auto"/>
              <w:right w:val="single" w:sz="4" w:space="0" w:color="auto"/>
            </w:tcBorders>
            <w:vAlign w:val="center"/>
            <w:hideMark/>
          </w:tcPr>
          <w:p w14:paraId="0A3AE4B4"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Money and financial instruments settle in</w:t>
            </w:r>
            <w:r w:rsidRPr="00C3521F">
              <w:rPr>
                <w:rFonts w:eastAsia="Times New Roman"/>
                <w:color w:val="000000"/>
                <w:sz w:val="20"/>
                <w:lang w:val="en-GB" w:eastAsia="fr-FR"/>
              </w:rPr>
              <w:br/>
              <w:t>different locations.</w:t>
            </w:r>
          </w:p>
        </w:tc>
      </w:tr>
      <w:tr w:rsidR="00A3435F" w:rsidRPr="00C3521F" w14:paraId="60DD5C0C"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7AB935EE"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TRAN</w:t>
            </w:r>
          </w:p>
        </w:tc>
        <w:tc>
          <w:tcPr>
            <w:tcW w:w="3460" w:type="dxa"/>
            <w:tcBorders>
              <w:top w:val="nil"/>
              <w:left w:val="nil"/>
              <w:bottom w:val="single" w:sz="4" w:space="0" w:color="auto"/>
              <w:right w:val="single" w:sz="4" w:space="0" w:color="auto"/>
            </w:tcBorders>
            <w:noWrap/>
            <w:vAlign w:val="center"/>
            <w:hideMark/>
          </w:tcPr>
          <w:p w14:paraId="2E56DEDA"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Transformation</w:t>
            </w:r>
          </w:p>
        </w:tc>
        <w:tc>
          <w:tcPr>
            <w:tcW w:w="3460" w:type="dxa"/>
            <w:tcBorders>
              <w:top w:val="nil"/>
              <w:left w:val="nil"/>
              <w:bottom w:val="single" w:sz="4" w:space="0" w:color="auto"/>
              <w:right w:val="single" w:sz="4" w:space="0" w:color="auto"/>
            </w:tcBorders>
            <w:vAlign w:val="center"/>
            <w:hideMark/>
          </w:tcPr>
          <w:p w14:paraId="55B0208B"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Transaction resulting from a</w:t>
            </w:r>
            <w:r w:rsidRPr="00C3521F">
              <w:rPr>
                <w:rFonts w:eastAsia="Times New Roman"/>
                <w:color w:val="000000"/>
                <w:sz w:val="20"/>
                <w:lang w:val="en-GB" w:eastAsia="fr-FR"/>
              </w:rPr>
              <w:br/>
              <w:t>transformation.</w:t>
            </w:r>
          </w:p>
        </w:tc>
      </w:tr>
      <w:tr w:rsidR="00A3435F" w:rsidRPr="00C3521F" w14:paraId="023FD170" w14:textId="77777777" w:rsidTr="00A3435F">
        <w:trPr>
          <w:trHeight w:val="792"/>
        </w:trPr>
        <w:tc>
          <w:tcPr>
            <w:tcW w:w="1340" w:type="dxa"/>
            <w:tcBorders>
              <w:top w:val="nil"/>
              <w:left w:val="single" w:sz="4" w:space="0" w:color="auto"/>
              <w:bottom w:val="single" w:sz="4" w:space="0" w:color="auto"/>
              <w:right w:val="single" w:sz="4" w:space="0" w:color="auto"/>
            </w:tcBorders>
            <w:noWrap/>
            <w:vAlign w:val="center"/>
            <w:hideMark/>
          </w:tcPr>
          <w:p w14:paraId="27211340"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TRIP</w:t>
            </w:r>
          </w:p>
        </w:tc>
        <w:tc>
          <w:tcPr>
            <w:tcW w:w="3460" w:type="dxa"/>
            <w:tcBorders>
              <w:top w:val="nil"/>
              <w:left w:val="nil"/>
              <w:bottom w:val="single" w:sz="4" w:space="0" w:color="auto"/>
              <w:right w:val="single" w:sz="4" w:space="0" w:color="auto"/>
            </w:tcBorders>
            <w:noWrap/>
            <w:vAlign w:val="center"/>
            <w:hideMark/>
          </w:tcPr>
          <w:p w14:paraId="3AEC3E64" w14:textId="2B0737F3"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Triparty</w:t>
            </w:r>
            <w:proofErr w:type="spellEnd"/>
            <w:r w:rsidR="000A29F6">
              <w:rPr>
                <w:rFonts w:eastAsia="Times New Roman"/>
                <w:color w:val="000000"/>
                <w:sz w:val="20"/>
                <w:lang w:val="fr-FR" w:eastAsia="fr-FR"/>
              </w:rPr>
              <w:t xml:space="preserve"> </w:t>
            </w:r>
            <w:proofErr w:type="spellStart"/>
            <w:r w:rsidRPr="00A3435F">
              <w:rPr>
                <w:rFonts w:eastAsia="Times New Roman"/>
                <w:color w:val="000000"/>
                <w:sz w:val="20"/>
                <w:lang w:val="fr-FR" w:eastAsia="fr-FR"/>
              </w:rPr>
              <w:t>Segregation</w:t>
            </w:r>
            <w:proofErr w:type="spellEnd"/>
          </w:p>
        </w:tc>
        <w:tc>
          <w:tcPr>
            <w:tcW w:w="3460" w:type="dxa"/>
            <w:tcBorders>
              <w:top w:val="nil"/>
              <w:left w:val="nil"/>
              <w:bottom w:val="single" w:sz="4" w:space="0" w:color="auto"/>
              <w:right w:val="single" w:sz="4" w:space="0" w:color="auto"/>
            </w:tcBorders>
            <w:vAlign w:val="center"/>
            <w:hideMark/>
          </w:tcPr>
          <w:p w14:paraId="14224864"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 xml:space="preserve">Securities </w:t>
            </w:r>
            <w:proofErr w:type="gramStart"/>
            <w:r w:rsidRPr="00C3521F">
              <w:rPr>
                <w:rFonts w:eastAsia="Times New Roman"/>
                <w:color w:val="000000"/>
                <w:sz w:val="20"/>
                <w:lang w:val="en-GB" w:eastAsia="fr-FR"/>
              </w:rPr>
              <w:t>are not be</w:t>
            </w:r>
            <w:proofErr w:type="gramEnd"/>
            <w:r w:rsidRPr="00C3521F">
              <w:rPr>
                <w:rFonts w:eastAsia="Times New Roman"/>
                <w:color w:val="000000"/>
                <w:sz w:val="20"/>
                <w:lang w:val="en-GB" w:eastAsia="fr-FR"/>
              </w:rPr>
              <w:t xml:space="preserve"> delivered but</w:t>
            </w:r>
            <w:r w:rsidRPr="00C3521F">
              <w:rPr>
                <w:rFonts w:eastAsia="Times New Roman"/>
                <w:color w:val="000000"/>
                <w:sz w:val="20"/>
                <w:lang w:val="en-GB" w:eastAsia="fr-FR"/>
              </w:rPr>
              <w:br/>
              <w:t>segregated following triparty collateral</w:t>
            </w:r>
            <w:r w:rsidRPr="00C3521F">
              <w:rPr>
                <w:rFonts w:eastAsia="Times New Roman"/>
                <w:color w:val="000000"/>
                <w:sz w:val="20"/>
                <w:lang w:val="en-GB" w:eastAsia="fr-FR"/>
              </w:rPr>
              <w:br/>
              <w:t>transaction.</w:t>
            </w:r>
          </w:p>
        </w:tc>
      </w:tr>
      <w:tr w:rsidR="00A3435F" w:rsidRPr="00C3521F" w14:paraId="271255D0" w14:textId="77777777" w:rsidTr="00A3435F">
        <w:trPr>
          <w:trHeight w:val="528"/>
        </w:trPr>
        <w:tc>
          <w:tcPr>
            <w:tcW w:w="1340" w:type="dxa"/>
            <w:tcBorders>
              <w:top w:val="nil"/>
              <w:left w:val="single" w:sz="4" w:space="0" w:color="auto"/>
              <w:bottom w:val="single" w:sz="4" w:space="0" w:color="auto"/>
              <w:right w:val="single" w:sz="4" w:space="0" w:color="auto"/>
            </w:tcBorders>
            <w:noWrap/>
            <w:vAlign w:val="center"/>
            <w:hideMark/>
          </w:tcPr>
          <w:p w14:paraId="65527680" w14:textId="77777777" w:rsidR="00A3435F" w:rsidRPr="00A3435F" w:rsidRDefault="00A3435F" w:rsidP="00A3435F">
            <w:pPr>
              <w:spacing w:before="0"/>
              <w:rPr>
                <w:rFonts w:eastAsia="Times New Roman"/>
                <w:color w:val="000000"/>
                <w:sz w:val="20"/>
                <w:lang w:val="fr-FR" w:eastAsia="fr-FR"/>
              </w:rPr>
            </w:pPr>
            <w:r w:rsidRPr="00A3435F">
              <w:rPr>
                <w:rFonts w:eastAsia="Times New Roman"/>
                <w:color w:val="000000"/>
                <w:sz w:val="20"/>
                <w:lang w:val="fr-FR" w:eastAsia="fr-FR"/>
              </w:rPr>
              <w:t>UNEX</w:t>
            </w:r>
          </w:p>
        </w:tc>
        <w:tc>
          <w:tcPr>
            <w:tcW w:w="3460" w:type="dxa"/>
            <w:tcBorders>
              <w:top w:val="nil"/>
              <w:left w:val="nil"/>
              <w:bottom w:val="single" w:sz="4" w:space="0" w:color="auto"/>
              <w:right w:val="single" w:sz="4" w:space="0" w:color="auto"/>
            </w:tcBorders>
            <w:noWrap/>
            <w:vAlign w:val="center"/>
            <w:hideMark/>
          </w:tcPr>
          <w:p w14:paraId="2798EAEA" w14:textId="77777777" w:rsidR="00A3435F" w:rsidRPr="00A3435F" w:rsidRDefault="00A3435F" w:rsidP="00A3435F">
            <w:pPr>
              <w:spacing w:before="0"/>
              <w:rPr>
                <w:rFonts w:eastAsia="Times New Roman"/>
                <w:color w:val="000000"/>
                <w:sz w:val="20"/>
                <w:lang w:val="fr-FR" w:eastAsia="fr-FR"/>
              </w:rPr>
            </w:pPr>
            <w:proofErr w:type="spellStart"/>
            <w:r w:rsidRPr="00A3435F">
              <w:rPr>
                <w:rFonts w:eastAsia="Times New Roman"/>
                <w:color w:val="000000"/>
                <w:sz w:val="20"/>
                <w:lang w:val="fr-FR" w:eastAsia="fr-FR"/>
              </w:rPr>
              <w:t>Unexposed</w:t>
            </w:r>
            <w:proofErr w:type="spellEnd"/>
          </w:p>
        </w:tc>
        <w:tc>
          <w:tcPr>
            <w:tcW w:w="3460" w:type="dxa"/>
            <w:tcBorders>
              <w:top w:val="nil"/>
              <w:left w:val="nil"/>
              <w:bottom w:val="single" w:sz="4" w:space="0" w:color="auto"/>
              <w:right w:val="single" w:sz="4" w:space="0" w:color="auto"/>
            </w:tcBorders>
            <w:vAlign w:val="center"/>
            <w:hideMark/>
          </w:tcPr>
          <w:p w14:paraId="3078D865" w14:textId="77777777" w:rsidR="00A3435F" w:rsidRPr="00C3521F" w:rsidRDefault="00A3435F" w:rsidP="00A3435F">
            <w:pPr>
              <w:spacing w:before="0"/>
              <w:rPr>
                <w:rFonts w:eastAsia="Times New Roman"/>
                <w:color w:val="000000"/>
                <w:sz w:val="20"/>
                <w:lang w:val="en-GB" w:eastAsia="fr-FR"/>
              </w:rPr>
            </w:pPr>
            <w:r w:rsidRPr="00C3521F">
              <w:rPr>
                <w:rFonts w:eastAsia="Times New Roman"/>
                <w:color w:val="000000"/>
                <w:sz w:val="20"/>
                <w:lang w:val="en-GB" w:eastAsia="fr-FR"/>
              </w:rPr>
              <w:t>Delivery cannot be performed until</w:t>
            </w:r>
            <w:r w:rsidRPr="00C3521F">
              <w:rPr>
                <w:rFonts w:eastAsia="Times New Roman"/>
                <w:color w:val="000000"/>
                <w:sz w:val="20"/>
                <w:lang w:val="en-GB" w:eastAsia="fr-FR"/>
              </w:rPr>
              <w:br/>
              <w:t>money is received.</w:t>
            </w:r>
          </w:p>
        </w:tc>
      </w:tr>
    </w:tbl>
    <w:p w14:paraId="51A1FB36" w14:textId="77777777" w:rsidR="008E2B65" w:rsidRPr="00C3521F" w:rsidRDefault="008E2B65" w:rsidP="008E2B65">
      <w:pPr>
        <w:rPr>
          <w:lang w:val="en-GB"/>
        </w:rPr>
      </w:pPr>
    </w:p>
    <w:p w14:paraId="7D63A80A" w14:textId="5F93AC91" w:rsidR="00CA304B" w:rsidRPr="00C3521F" w:rsidRDefault="00873B38" w:rsidP="00C3521F">
      <w:pPr>
        <w:pStyle w:val="ListParagraph"/>
        <w:numPr>
          <w:ilvl w:val="2"/>
          <w:numId w:val="24"/>
        </w:numPr>
        <w:rPr>
          <w:rFonts w:ascii="Times New Roman" w:hAnsi="Times New Roman"/>
          <w:sz w:val="24"/>
          <w:szCs w:val="24"/>
          <w:lang w:val="fr-FR"/>
        </w:rPr>
      </w:pPr>
      <w:proofErr w:type="spellStart"/>
      <w:r w:rsidRPr="00C3521F">
        <w:rPr>
          <w:rFonts w:ascii="Times New Roman" w:hAnsi="Times New Roman"/>
          <w:sz w:val="24"/>
          <w:szCs w:val="24"/>
          <w:lang w:val="fr-FR"/>
        </w:rPr>
        <w:t>Proprietary</w:t>
      </w:r>
      <w:proofErr w:type="spellEnd"/>
      <w:r w:rsidRPr="00C3521F">
        <w:rPr>
          <w:rFonts w:ascii="Times New Roman" w:hAnsi="Times New Roman"/>
          <w:sz w:val="24"/>
          <w:szCs w:val="24"/>
          <w:lang w:val="fr-FR"/>
        </w:rPr>
        <w:t xml:space="preserve"> &lt;</w:t>
      </w:r>
      <w:proofErr w:type="spellStart"/>
      <w:r w:rsidRPr="00C3521F">
        <w:rPr>
          <w:rFonts w:ascii="Times New Roman" w:hAnsi="Times New Roman"/>
          <w:sz w:val="24"/>
          <w:szCs w:val="24"/>
          <w:lang w:val="fr-FR"/>
        </w:rPr>
        <w:t>Prtry</w:t>
      </w:r>
      <w:proofErr w:type="spellEnd"/>
      <w:r w:rsidRPr="00C3521F">
        <w:rPr>
          <w:rFonts w:ascii="Times New Roman" w:hAnsi="Times New Roman"/>
          <w:sz w:val="24"/>
          <w:szCs w:val="24"/>
          <w:lang w:val="fr-FR"/>
        </w:rPr>
        <w:t>&gt;</w:t>
      </w:r>
    </w:p>
    <w:p w14:paraId="6CDF05D7" w14:textId="77777777" w:rsidR="00831BDD" w:rsidRPr="00C3521F" w:rsidRDefault="00873B38" w:rsidP="00F23DF6">
      <w:pPr>
        <w:pStyle w:val="ListParagraph"/>
        <w:numPr>
          <w:ilvl w:val="0"/>
          <w:numId w:val="27"/>
        </w:numPr>
        <w:rPr>
          <w:rFonts w:ascii="Times New Roman" w:hAnsi="Times New Roman"/>
          <w:sz w:val="24"/>
          <w:szCs w:val="24"/>
        </w:rPr>
      </w:pPr>
      <w:r w:rsidRPr="00C3521F">
        <w:rPr>
          <w:rFonts w:ascii="Times New Roman" w:hAnsi="Times New Roman"/>
          <w:sz w:val="24"/>
          <w:szCs w:val="24"/>
        </w:rPr>
        <w:t>Presence: [</w:t>
      </w:r>
      <w:proofErr w:type="gramStart"/>
      <w:r w:rsidRPr="00C3521F">
        <w:rPr>
          <w:rFonts w:ascii="Times New Roman" w:hAnsi="Times New Roman"/>
          <w:sz w:val="24"/>
          <w:szCs w:val="24"/>
        </w:rPr>
        <w:t>1..</w:t>
      </w:r>
      <w:proofErr w:type="gramEnd"/>
      <w:r w:rsidRPr="00C3521F">
        <w:rPr>
          <w:rFonts w:ascii="Times New Roman" w:hAnsi="Times New Roman"/>
          <w:sz w:val="24"/>
          <w:szCs w:val="24"/>
        </w:rPr>
        <w:t>1]</w:t>
      </w:r>
    </w:p>
    <w:p w14:paraId="4F64983C" w14:textId="77777777" w:rsidR="00831BDD" w:rsidRPr="00C3521F" w:rsidRDefault="00873B38" w:rsidP="00F23DF6">
      <w:pPr>
        <w:pStyle w:val="ListParagraph"/>
        <w:numPr>
          <w:ilvl w:val="0"/>
          <w:numId w:val="27"/>
        </w:numPr>
        <w:rPr>
          <w:rFonts w:ascii="Times New Roman" w:hAnsi="Times New Roman"/>
          <w:sz w:val="24"/>
          <w:szCs w:val="24"/>
        </w:rPr>
      </w:pPr>
      <w:r w:rsidRPr="00C3521F">
        <w:rPr>
          <w:rFonts w:ascii="Times New Roman" w:hAnsi="Times New Roman"/>
          <w:sz w:val="24"/>
          <w:szCs w:val="24"/>
        </w:rPr>
        <w:t>Definition: Settlement conditions expressed as a proprietary code.</w:t>
      </w:r>
    </w:p>
    <w:p w14:paraId="52ACC895" w14:textId="07DD49CB" w:rsidR="00CA304B" w:rsidRPr="00C3521F" w:rsidRDefault="00873B38" w:rsidP="00C3521F">
      <w:pPr>
        <w:pStyle w:val="ListParagraph"/>
        <w:numPr>
          <w:ilvl w:val="0"/>
          <w:numId w:val="27"/>
        </w:numPr>
        <w:rPr>
          <w:rFonts w:ascii="Times New Roman" w:hAnsi="Times New Roman"/>
          <w:sz w:val="24"/>
          <w:szCs w:val="24"/>
        </w:rPr>
      </w:pPr>
      <w:r w:rsidRPr="00C3521F">
        <w:rPr>
          <w:rFonts w:ascii="Times New Roman" w:hAnsi="Times New Roman"/>
          <w:sz w:val="24"/>
          <w:szCs w:val="24"/>
        </w:rPr>
        <w:t>Datatype: “GenericIdentification30”</w:t>
      </w:r>
    </w:p>
    <w:p w14:paraId="5652E88C" w14:textId="29EC43C1" w:rsidR="00CA304B" w:rsidRPr="00004B12" w:rsidRDefault="00873B38" w:rsidP="00F23DF6">
      <w:pPr>
        <w:rPr>
          <w:szCs w:val="24"/>
          <w:lang w:val="en-GB"/>
        </w:rPr>
      </w:pPr>
      <w:r w:rsidRPr="00004B12">
        <w:rPr>
          <w:szCs w:val="24"/>
          <w:lang w:val="en-GB"/>
        </w:rPr>
        <w:t>Proprietary &lt;</w:t>
      </w:r>
      <w:proofErr w:type="spellStart"/>
      <w:r w:rsidRPr="00004B12">
        <w:rPr>
          <w:szCs w:val="24"/>
          <w:lang w:val="en-GB"/>
        </w:rPr>
        <w:t>Prtry</w:t>
      </w:r>
      <w:proofErr w:type="spellEnd"/>
      <w:r w:rsidRPr="00004B12">
        <w:rPr>
          <w:szCs w:val="24"/>
          <w:lang w:val="en-GB"/>
        </w:rPr>
        <w:t>&gt; contains the following elements:</w:t>
      </w:r>
    </w:p>
    <w:p w14:paraId="1962313E" w14:textId="77777777" w:rsidR="00BF6B2F" w:rsidRDefault="00BF6B2F" w:rsidP="00F23DF6">
      <w:pPr>
        <w:rPr>
          <w:lang w:val="en-GB"/>
        </w:rPr>
      </w:pPr>
    </w:p>
    <w:tbl>
      <w:tblPr>
        <w:tblW w:w="9856" w:type="dxa"/>
        <w:tblCellMar>
          <w:left w:w="70" w:type="dxa"/>
          <w:right w:w="70" w:type="dxa"/>
        </w:tblCellMar>
        <w:tblLook w:val="04A0" w:firstRow="1" w:lastRow="0" w:firstColumn="1" w:lastColumn="0" w:noHBand="0" w:noVBand="1"/>
      </w:tblPr>
      <w:tblGrid>
        <w:gridCol w:w="352"/>
        <w:gridCol w:w="2024"/>
        <w:gridCol w:w="579"/>
        <w:gridCol w:w="2251"/>
        <w:gridCol w:w="4650"/>
      </w:tblGrid>
      <w:tr w:rsidR="00B662BE" w:rsidRPr="00873B38" w14:paraId="4F30BCD7" w14:textId="77777777" w:rsidTr="00C3521F">
        <w:trPr>
          <w:trHeight w:val="246"/>
        </w:trPr>
        <w:tc>
          <w:tcPr>
            <w:tcW w:w="315" w:type="dxa"/>
            <w:tcBorders>
              <w:top w:val="single" w:sz="4" w:space="0" w:color="auto"/>
              <w:left w:val="single" w:sz="4" w:space="0" w:color="auto"/>
              <w:bottom w:val="single" w:sz="4" w:space="0" w:color="auto"/>
              <w:right w:val="single" w:sz="4" w:space="0" w:color="auto"/>
            </w:tcBorders>
            <w:noWrap/>
            <w:vAlign w:val="center"/>
            <w:hideMark/>
          </w:tcPr>
          <w:p w14:paraId="754CC86D"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Or</w:t>
            </w:r>
          </w:p>
        </w:tc>
        <w:tc>
          <w:tcPr>
            <w:tcW w:w="2024" w:type="dxa"/>
            <w:tcBorders>
              <w:top w:val="single" w:sz="4" w:space="0" w:color="auto"/>
              <w:left w:val="nil"/>
              <w:bottom w:val="single" w:sz="4" w:space="0" w:color="auto"/>
              <w:right w:val="single" w:sz="4" w:space="0" w:color="auto"/>
            </w:tcBorders>
            <w:noWrap/>
            <w:vAlign w:val="center"/>
            <w:hideMark/>
          </w:tcPr>
          <w:p w14:paraId="1DB1FD94" w14:textId="6F914AE9"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Message</w:t>
            </w:r>
            <w:r w:rsidR="00BF374F">
              <w:rPr>
                <w:rFonts w:eastAsia="Times New Roman"/>
                <w:color w:val="000000"/>
                <w:sz w:val="20"/>
                <w:lang w:val="fr-FR" w:eastAsia="fr-FR"/>
              </w:rPr>
              <w:t xml:space="preserve"> </w:t>
            </w:r>
            <w:proofErr w:type="spellStart"/>
            <w:r w:rsidRPr="00873B38">
              <w:rPr>
                <w:rFonts w:eastAsia="Times New Roman"/>
                <w:color w:val="000000"/>
                <w:sz w:val="20"/>
                <w:lang w:val="fr-FR" w:eastAsia="fr-FR"/>
              </w:rPr>
              <w:t>Element</w:t>
            </w:r>
            <w:proofErr w:type="spellEnd"/>
            <w:r w:rsidRPr="00873B38">
              <w:rPr>
                <w:rFonts w:eastAsia="Times New Roman"/>
                <w:color w:val="000000"/>
                <w:sz w:val="20"/>
                <w:lang w:val="fr-FR" w:eastAsia="fr-FR"/>
              </w:rPr>
              <w:t xml:space="preserve"> &lt;XML Tag&gt;</w:t>
            </w:r>
          </w:p>
        </w:tc>
        <w:tc>
          <w:tcPr>
            <w:tcW w:w="532" w:type="dxa"/>
            <w:tcBorders>
              <w:top w:val="single" w:sz="4" w:space="0" w:color="auto"/>
              <w:left w:val="nil"/>
              <w:bottom w:val="single" w:sz="4" w:space="0" w:color="auto"/>
              <w:right w:val="single" w:sz="4" w:space="0" w:color="auto"/>
            </w:tcBorders>
            <w:noWrap/>
            <w:vAlign w:val="center"/>
            <w:hideMark/>
          </w:tcPr>
          <w:p w14:paraId="5059D388" w14:textId="77777777" w:rsidR="00873B38" w:rsidRPr="00873B38" w:rsidRDefault="00873B38" w:rsidP="00873B38">
            <w:pPr>
              <w:spacing w:before="0"/>
              <w:rPr>
                <w:rFonts w:eastAsia="Times New Roman"/>
                <w:color w:val="000000"/>
                <w:sz w:val="20"/>
                <w:lang w:val="fr-FR" w:eastAsia="fr-FR"/>
              </w:rPr>
            </w:pPr>
            <w:proofErr w:type="spellStart"/>
            <w:r w:rsidRPr="00873B38">
              <w:rPr>
                <w:rFonts w:eastAsia="Times New Roman"/>
                <w:color w:val="000000"/>
                <w:sz w:val="20"/>
                <w:lang w:val="fr-FR" w:eastAsia="fr-FR"/>
              </w:rPr>
              <w:t>Mult</w:t>
            </w:r>
            <w:proofErr w:type="spellEnd"/>
            <w:r w:rsidRPr="00873B38">
              <w:rPr>
                <w:rFonts w:eastAsia="Times New Roman"/>
                <w:color w:val="000000"/>
                <w:sz w:val="20"/>
                <w:lang w:val="fr-FR" w:eastAsia="fr-FR"/>
              </w:rPr>
              <w:t>.</w:t>
            </w:r>
          </w:p>
        </w:tc>
        <w:tc>
          <w:tcPr>
            <w:tcW w:w="1810" w:type="dxa"/>
            <w:tcBorders>
              <w:top w:val="single" w:sz="4" w:space="0" w:color="auto"/>
              <w:left w:val="nil"/>
              <w:bottom w:val="single" w:sz="4" w:space="0" w:color="auto"/>
              <w:right w:val="single" w:sz="4" w:space="0" w:color="auto"/>
            </w:tcBorders>
            <w:noWrap/>
            <w:vAlign w:val="center"/>
            <w:hideMark/>
          </w:tcPr>
          <w:p w14:paraId="2114EE29"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Data Type</w:t>
            </w:r>
          </w:p>
        </w:tc>
        <w:tc>
          <w:tcPr>
            <w:tcW w:w="5175" w:type="dxa"/>
            <w:tcBorders>
              <w:top w:val="single" w:sz="4" w:space="0" w:color="auto"/>
              <w:left w:val="nil"/>
              <w:bottom w:val="single" w:sz="4" w:space="0" w:color="auto"/>
              <w:right w:val="single" w:sz="4" w:space="0" w:color="auto"/>
            </w:tcBorders>
            <w:vAlign w:val="center"/>
            <w:hideMark/>
          </w:tcPr>
          <w:p w14:paraId="3B0167FF" w14:textId="77777777" w:rsidR="00873B38" w:rsidRPr="00873B38" w:rsidRDefault="00873B38" w:rsidP="00873B38">
            <w:pPr>
              <w:spacing w:before="0"/>
              <w:rPr>
                <w:rFonts w:eastAsia="Times New Roman"/>
                <w:color w:val="000000"/>
                <w:sz w:val="20"/>
                <w:lang w:val="fr-FR" w:eastAsia="fr-FR"/>
              </w:rPr>
            </w:pPr>
            <w:proofErr w:type="spellStart"/>
            <w:r w:rsidRPr="00873B38">
              <w:rPr>
                <w:rFonts w:eastAsia="Times New Roman"/>
                <w:color w:val="000000"/>
                <w:sz w:val="20"/>
                <w:lang w:val="fr-FR" w:eastAsia="fr-FR"/>
              </w:rPr>
              <w:t>Definition</w:t>
            </w:r>
            <w:proofErr w:type="spellEnd"/>
          </w:p>
        </w:tc>
      </w:tr>
      <w:tr w:rsidR="00B662BE" w:rsidRPr="00873B38" w14:paraId="33F259CB" w14:textId="77777777" w:rsidTr="00C3521F">
        <w:trPr>
          <w:trHeight w:val="493"/>
        </w:trPr>
        <w:tc>
          <w:tcPr>
            <w:tcW w:w="315" w:type="dxa"/>
            <w:tcBorders>
              <w:top w:val="nil"/>
              <w:left w:val="single" w:sz="4" w:space="0" w:color="auto"/>
              <w:bottom w:val="single" w:sz="4" w:space="0" w:color="auto"/>
              <w:right w:val="single" w:sz="4" w:space="0" w:color="auto"/>
            </w:tcBorders>
            <w:noWrap/>
            <w:vAlign w:val="center"/>
            <w:hideMark/>
          </w:tcPr>
          <w:p w14:paraId="46A9AF12"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 </w:t>
            </w:r>
          </w:p>
        </w:tc>
        <w:tc>
          <w:tcPr>
            <w:tcW w:w="2024" w:type="dxa"/>
            <w:tcBorders>
              <w:top w:val="nil"/>
              <w:left w:val="nil"/>
              <w:bottom w:val="single" w:sz="4" w:space="0" w:color="auto"/>
              <w:right w:val="single" w:sz="4" w:space="0" w:color="auto"/>
            </w:tcBorders>
            <w:noWrap/>
            <w:vAlign w:val="center"/>
            <w:hideMark/>
          </w:tcPr>
          <w:p w14:paraId="76AE20CC"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Identification &lt;Id&gt;</w:t>
            </w:r>
          </w:p>
        </w:tc>
        <w:tc>
          <w:tcPr>
            <w:tcW w:w="532" w:type="dxa"/>
            <w:tcBorders>
              <w:top w:val="nil"/>
              <w:left w:val="nil"/>
              <w:bottom w:val="single" w:sz="4" w:space="0" w:color="auto"/>
              <w:right w:val="single" w:sz="4" w:space="0" w:color="auto"/>
            </w:tcBorders>
            <w:noWrap/>
            <w:vAlign w:val="center"/>
            <w:hideMark/>
          </w:tcPr>
          <w:p w14:paraId="112D3B75"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w:t>
            </w:r>
            <w:proofErr w:type="gramStart"/>
            <w:r w:rsidRPr="00873B38">
              <w:rPr>
                <w:rFonts w:eastAsia="Times New Roman"/>
                <w:color w:val="000000"/>
                <w:sz w:val="20"/>
                <w:lang w:val="fr-FR" w:eastAsia="fr-FR"/>
              </w:rPr>
              <w:t>1..</w:t>
            </w:r>
            <w:proofErr w:type="gramEnd"/>
            <w:r w:rsidRPr="00873B38">
              <w:rPr>
                <w:rFonts w:eastAsia="Times New Roman"/>
                <w:color w:val="000000"/>
                <w:sz w:val="20"/>
                <w:lang w:val="fr-FR" w:eastAsia="fr-FR"/>
              </w:rPr>
              <w:t>1]</w:t>
            </w:r>
          </w:p>
        </w:tc>
        <w:tc>
          <w:tcPr>
            <w:tcW w:w="1810" w:type="dxa"/>
            <w:tcBorders>
              <w:top w:val="nil"/>
              <w:left w:val="nil"/>
              <w:bottom w:val="single" w:sz="4" w:space="0" w:color="auto"/>
              <w:right w:val="single" w:sz="4" w:space="0" w:color="auto"/>
            </w:tcBorders>
            <w:noWrap/>
            <w:vAlign w:val="center"/>
            <w:hideMark/>
          </w:tcPr>
          <w:p w14:paraId="0F4EA909"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Exact4AlphaNumericText</w:t>
            </w:r>
          </w:p>
        </w:tc>
        <w:tc>
          <w:tcPr>
            <w:tcW w:w="5175" w:type="dxa"/>
            <w:tcBorders>
              <w:top w:val="nil"/>
              <w:left w:val="nil"/>
              <w:bottom w:val="single" w:sz="4" w:space="0" w:color="auto"/>
              <w:right w:val="single" w:sz="4" w:space="0" w:color="auto"/>
            </w:tcBorders>
            <w:vAlign w:val="center"/>
            <w:hideMark/>
          </w:tcPr>
          <w:p w14:paraId="57B77437" w14:textId="77777777" w:rsidR="00873B38" w:rsidRPr="00C3521F" w:rsidRDefault="00873B38" w:rsidP="00873B38">
            <w:pPr>
              <w:spacing w:before="0"/>
              <w:rPr>
                <w:rFonts w:eastAsia="Times New Roman"/>
                <w:color w:val="000000"/>
                <w:sz w:val="20"/>
                <w:lang w:val="en-GB" w:eastAsia="fr-FR"/>
              </w:rPr>
            </w:pPr>
            <w:r w:rsidRPr="00C3521F">
              <w:rPr>
                <w:rFonts w:eastAsia="Times New Roman"/>
                <w:color w:val="000000"/>
                <w:sz w:val="20"/>
                <w:lang w:val="en-GB" w:eastAsia="fr-FR"/>
              </w:rPr>
              <w:t>Proprietary information, often a code, issued by the data source scheme issuer.</w:t>
            </w:r>
          </w:p>
        </w:tc>
      </w:tr>
      <w:tr w:rsidR="00B662BE" w:rsidRPr="00873B38" w14:paraId="3D2E77A1" w14:textId="77777777" w:rsidTr="00C3521F">
        <w:trPr>
          <w:trHeight w:val="246"/>
        </w:trPr>
        <w:tc>
          <w:tcPr>
            <w:tcW w:w="315" w:type="dxa"/>
            <w:tcBorders>
              <w:top w:val="nil"/>
              <w:left w:val="single" w:sz="4" w:space="0" w:color="auto"/>
              <w:bottom w:val="single" w:sz="4" w:space="0" w:color="auto"/>
              <w:right w:val="single" w:sz="4" w:space="0" w:color="auto"/>
            </w:tcBorders>
            <w:noWrap/>
            <w:vAlign w:val="center"/>
            <w:hideMark/>
          </w:tcPr>
          <w:p w14:paraId="736B853A" w14:textId="77777777" w:rsidR="00873B38" w:rsidRPr="00C3521F" w:rsidRDefault="00873B38" w:rsidP="00873B38">
            <w:pPr>
              <w:spacing w:before="0"/>
              <w:rPr>
                <w:rFonts w:eastAsia="Times New Roman"/>
                <w:color w:val="000000"/>
                <w:sz w:val="20"/>
                <w:lang w:val="en-GB" w:eastAsia="fr-FR"/>
              </w:rPr>
            </w:pPr>
            <w:r w:rsidRPr="00C3521F">
              <w:rPr>
                <w:rFonts w:eastAsia="Times New Roman"/>
                <w:color w:val="000000"/>
                <w:sz w:val="20"/>
                <w:lang w:val="en-GB" w:eastAsia="fr-FR"/>
              </w:rPr>
              <w:t> </w:t>
            </w:r>
          </w:p>
        </w:tc>
        <w:tc>
          <w:tcPr>
            <w:tcW w:w="2024" w:type="dxa"/>
            <w:tcBorders>
              <w:top w:val="nil"/>
              <w:left w:val="nil"/>
              <w:bottom w:val="single" w:sz="4" w:space="0" w:color="auto"/>
              <w:right w:val="single" w:sz="4" w:space="0" w:color="auto"/>
            </w:tcBorders>
            <w:noWrap/>
            <w:vAlign w:val="center"/>
            <w:hideMark/>
          </w:tcPr>
          <w:p w14:paraId="7EE30305" w14:textId="77777777" w:rsidR="00873B38" w:rsidRPr="00873B38" w:rsidRDefault="00873B38" w:rsidP="00873B38">
            <w:pPr>
              <w:spacing w:before="0"/>
              <w:rPr>
                <w:rFonts w:eastAsia="Times New Roman"/>
                <w:color w:val="000000"/>
                <w:sz w:val="20"/>
                <w:lang w:val="fr-FR" w:eastAsia="fr-FR"/>
              </w:rPr>
            </w:pPr>
            <w:proofErr w:type="spellStart"/>
            <w:r w:rsidRPr="00873B38">
              <w:rPr>
                <w:rFonts w:eastAsia="Times New Roman"/>
                <w:color w:val="000000"/>
                <w:sz w:val="20"/>
                <w:lang w:val="fr-FR" w:eastAsia="fr-FR"/>
              </w:rPr>
              <w:t>Issuer</w:t>
            </w:r>
            <w:proofErr w:type="spellEnd"/>
            <w:r w:rsidRPr="00873B38">
              <w:rPr>
                <w:rFonts w:eastAsia="Times New Roman"/>
                <w:color w:val="000000"/>
                <w:sz w:val="20"/>
                <w:lang w:val="fr-FR" w:eastAsia="fr-FR"/>
              </w:rPr>
              <w:t xml:space="preserve"> &lt;</w:t>
            </w:r>
            <w:proofErr w:type="spellStart"/>
            <w:r w:rsidRPr="00873B38">
              <w:rPr>
                <w:rFonts w:eastAsia="Times New Roman"/>
                <w:color w:val="000000"/>
                <w:sz w:val="20"/>
                <w:lang w:val="fr-FR" w:eastAsia="fr-FR"/>
              </w:rPr>
              <w:t>Issr</w:t>
            </w:r>
            <w:proofErr w:type="spellEnd"/>
            <w:r w:rsidRPr="00873B38">
              <w:rPr>
                <w:rFonts w:eastAsia="Times New Roman"/>
                <w:color w:val="000000"/>
                <w:sz w:val="20"/>
                <w:lang w:val="fr-FR" w:eastAsia="fr-FR"/>
              </w:rPr>
              <w:t>&gt;</w:t>
            </w:r>
          </w:p>
        </w:tc>
        <w:tc>
          <w:tcPr>
            <w:tcW w:w="532" w:type="dxa"/>
            <w:tcBorders>
              <w:top w:val="nil"/>
              <w:left w:val="nil"/>
              <w:bottom w:val="single" w:sz="4" w:space="0" w:color="auto"/>
              <w:right w:val="single" w:sz="4" w:space="0" w:color="auto"/>
            </w:tcBorders>
            <w:noWrap/>
            <w:vAlign w:val="center"/>
            <w:hideMark/>
          </w:tcPr>
          <w:p w14:paraId="65F7C7E2"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w:t>
            </w:r>
            <w:proofErr w:type="gramStart"/>
            <w:r w:rsidRPr="00873B38">
              <w:rPr>
                <w:rFonts w:eastAsia="Times New Roman"/>
                <w:color w:val="000000"/>
                <w:sz w:val="20"/>
                <w:lang w:val="fr-FR" w:eastAsia="fr-FR"/>
              </w:rPr>
              <w:t>1..</w:t>
            </w:r>
            <w:proofErr w:type="gramEnd"/>
            <w:r w:rsidRPr="00873B38">
              <w:rPr>
                <w:rFonts w:eastAsia="Times New Roman"/>
                <w:color w:val="000000"/>
                <w:sz w:val="20"/>
                <w:lang w:val="fr-FR" w:eastAsia="fr-FR"/>
              </w:rPr>
              <w:t>1]</w:t>
            </w:r>
          </w:p>
        </w:tc>
        <w:tc>
          <w:tcPr>
            <w:tcW w:w="1810" w:type="dxa"/>
            <w:tcBorders>
              <w:top w:val="nil"/>
              <w:left w:val="nil"/>
              <w:bottom w:val="single" w:sz="4" w:space="0" w:color="auto"/>
              <w:right w:val="single" w:sz="4" w:space="0" w:color="auto"/>
            </w:tcBorders>
            <w:noWrap/>
            <w:vAlign w:val="center"/>
            <w:hideMark/>
          </w:tcPr>
          <w:p w14:paraId="6DBC06AF"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Max4AlphaNumericText</w:t>
            </w:r>
          </w:p>
        </w:tc>
        <w:tc>
          <w:tcPr>
            <w:tcW w:w="5175" w:type="dxa"/>
            <w:tcBorders>
              <w:top w:val="nil"/>
              <w:left w:val="nil"/>
              <w:bottom w:val="single" w:sz="4" w:space="0" w:color="auto"/>
              <w:right w:val="single" w:sz="4" w:space="0" w:color="auto"/>
            </w:tcBorders>
            <w:vAlign w:val="center"/>
            <w:hideMark/>
          </w:tcPr>
          <w:p w14:paraId="615962C1" w14:textId="77777777" w:rsidR="00873B38" w:rsidRPr="00C3521F" w:rsidRDefault="00873B38" w:rsidP="00873B38">
            <w:pPr>
              <w:spacing w:before="0"/>
              <w:rPr>
                <w:rFonts w:eastAsia="Times New Roman"/>
                <w:color w:val="000000"/>
                <w:sz w:val="20"/>
                <w:lang w:val="en-GB" w:eastAsia="fr-FR"/>
              </w:rPr>
            </w:pPr>
            <w:r w:rsidRPr="00C3521F">
              <w:rPr>
                <w:rFonts w:eastAsia="Times New Roman"/>
                <w:color w:val="000000"/>
                <w:sz w:val="20"/>
                <w:lang w:val="en-GB" w:eastAsia="fr-FR"/>
              </w:rPr>
              <w:t>Entity that assigns the identification.</w:t>
            </w:r>
          </w:p>
        </w:tc>
      </w:tr>
      <w:tr w:rsidR="00B662BE" w:rsidRPr="00873B38" w14:paraId="0AB1D7E3" w14:textId="77777777" w:rsidTr="00C3521F">
        <w:trPr>
          <w:trHeight w:val="246"/>
        </w:trPr>
        <w:tc>
          <w:tcPr>
            <w:tcW w:w="315" w:type="dxa"/>
            <w:tcBorders>
              <w:top w:val="nil"/>
              <w:left w:val="single" w:sz="4" w:space="0" w:color="auto"/>
              <w:bottom w:val="single" w:sz="4" w:space="0" w:color="auto"/>
              <w:right w:val="single" w:sz="4" w:space="0" w:color="auto"/>
            </w:tcBorders>
            <w:noWrap/>
            <w:vAlign w:val="center"/>
            <w:hideMark/>
          </w:tcPr>
          <w:p w14:paraId="3AB03C72" w14:textId="77777777" w:rsidR="00873B38" w:rsidRPr="00C3521F" w:rsidRDefault="00873B38" w:rsidP="00873B38">
            <w:pPr>
              <w:spacing w:before="0"/>
              <w:rPr>
                <w:rFonts w:eastAsia="Times New Roman"/>
                <w:color w:val="000000"/>
                <w:sz w:val="20"/>
                <w:lang w:val="en-GB" w:eastAsia="fr-FR"/>
              </w:rPr>
            </w:pPr>
            <w:r w:rsidRPr="00C3521F">
              <w:rPr>
                <w:rFonts w:eastAsia="Times New Roman"/>
                <w:color w:val="000000"/>
                <w:sz w:val="20"/>
                <w:lang w:val="en-GB" w:eastAsia="fr-FR"/>
              </w:rPr>
              <w:t> </w:t>
            </w:r>
          </w:p>
        </w:tc>
        <w:tc>
          <w:tcPr>
            <w:tcW w:w="2024" w:type="dxa"/>
            <w:tcBorders>
              <w:top w:val="nil"/>
              <w:left w:val="nil"/>
              <w:bottom w:val="single" w:sz="4" w:space="0" w:color="auto"/>
              <w:right w:val="single" w:sz="4" w:space="0" w:color="auto"/>
            </w:tcBorders>
            <w:noWrap/>
            <w:vAlign w:val="center"/>
            <w:hideMark/>
          </w:tcPr>
          <w:p w14:paraId="160BBCE8" w14:textId="77777777" w:rsidR="00873B38" w:rsidRPr="00873B38" w:rsidRDefault="00873B38" w:rsidP="00873B38">
            <w:pPr>
              <w:spacing w:before="0"/>
              <w:rPr>
                <w:rFonts w:eastAsia="Times New Roman"/>
                <w:color w:val="000000"/>
                <w:sz w:val="20"/>
                <w:lang w:val="fr-FR" w:eastAsia="fr-FR"/>
              </w:rPr>
            </w:pPr>
            <w:proofErr w:type="spellStart"/>
            <w:r w:rsidRPr="00873B38">
              <w:rPr>
                <w:rFonts w:eastAsia="Times New Roman"/>
                <w:color w:val="000000"/>
                <w:sz w:val="20"/>
                <w:lang w:val="fr-FR" w:eastAsia="fr-FR"/>
              </w:rPr>
              <w:t>SchemeName</w:t>
            </w:r>
            <w:proofErr w:type="spellEnd"/>
            <w:r w:rsidRPr="00873B38">
              <w:rPr>
                <w:rFonts w:eastAsia="Times New Roman"/>
                <w:color w:val="000000"/>
                <w:sz w:val="20"/>
                <w:lang w:val="fr-FR" w:eastAsia="fr-FR"/>
              </w:rPr>
              <w:t xml:space="preserve"> &lt;</w:t>
            </w:r>
            <w:proofErr w:type="spellStart"/>
            <w:r w:rsidRPr="00873B38">
              <w:rPr>
                <w:rFonts w:eastAsia="Times New Roman"/>
                <w:color w:val="000000"/>
                <w:sz w:val="20"/>
                <w:lang w:val="fr-FR" w:eastAsia="fr-FR"/>
              </w:rPr>
              <w:t>SchmeNm</w:t>
            </w:r>
            <w:proofErr w:type="spellEnd"/>
            <w:r w:rsidRPr="00873B38">
              <w:rPr>
                <w:rFonts w:eastAsia="Times New Roman"/>
                <w:color w:val="000000"/>
                <w:sz w:val="20"/>
                <w:lang w:val="fr-FR" w:eastAsia="fr-FR"/>
              </w:rPr>
              <w:t>&gt;</w:t>
            </w:r>
          </w:p>
        </w:tc>
        <w:tc>
          <w:tcPr>
            <w:tcW w:w="532" w:type="dxa"/>
            <w:tcBorders>
              <w:top w:val="nil"/>
              <w:left w:val="nil"/>
              <w:bottom w:val="single" w:sz="4" w:space="0" w:color="auto"/>
              <w:right w:val="single" w:sz="4" w:space="0" w:color="auto"/>
            </w:tcBorders>
            <w:noWrap/>
            <w:vAlign w:val="center"/>
            <w:hideMark/>
          </w:tcPr>
          <w:p w14:paraId="5B5ABB70"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w:t>
            </w:r>
            <w:proofErr w:type="gramStart"/>
            <w:r w:rsidRPr="00873B38">
              <w:rPr>
                <w:rFonts w:eastAsia="Times New Roman"/>
                <w:color w:val="000000"/>
                <w:sz w:val="20"/>
                <w:lang w:val="fr-FR" w:eastAsia="fr-FR"/>
              </w:rPr>
              <w:t>0..</w:t>
            </w:r>
            <w:proofErr w:type="gramEnd"/>
            <w:r w:rsidRPr="00873B38">
              <w:rPr>
                <w:rFonts w:eastAsia="Times New Roman"/>
                <w:color w:val="000000"/>
                <w:sz w:val="20"/>
                <w:lang w:val="fr-FR" w:eastAsia="fr-FR"/>
              </w:rPr>
              <w:t>1]</w:t>
            </w:r>
          </w:p>
        </w:tc>
        <w:tc>
          <w:tcPr>
            <w:tcW w:w="1810" w:type="dxa"/>
            <w:tcBorders>
              <w:top w:val="nil"/>
              <w:left w:val="nil"/>
              <w:bottom w:val="single" w:sz="4" w:space="0" w:color="auto"/>
              <w:right w:val="single" w:sz="4" w:space="0" w:color="auto"/>
            </w:tcBorders>
            <w:vAlign w:val="center"/>
            <w:hideMark/>
          </w:tcPr>
          <w:p w14:paraId="42D5A981" w14:textId="77777777" w:rsidR="00873B38" w:rsidRPr="00873B38" w:rsidRDefault="00873B38" w:rsidP="00873B38">
            <w:pPr>
              <w:spacing w:before="0"/>
              <w:rPr>
                <w:rFonts w:eastAsia="Times New Roman"/>
                <w:color w:val="000000"/>
                <w:sz w:val="20"/>
                <w:lang w:val="fr-FR" w:eastAsia="fr-FR"/>
              </w:rPr>
            </w:pPr>
            <w:r w:rsidRPr="00873B38">
              <w:rPr>
                <w:rFonts w:eastAsia="Times New Roman"/>
                <w:color w:val="000000"/>
                <w:sz w:val="20"/>
                <w:lang w:val="fr-FR" w:eastAsia="fr-FR"/>
              </w:rPr>
              <w:t>Max4AlphaNumericText</w:t>
            </w:r>
          </w:p>
        </w:tc>
        <w:tc>
          <w:tcPr>
            <w:tcW w:w="5175" w:type="dxa"/>
            <w:tcBorders>
              <w:top w:val="nil"/>
              <w:left w:val="nil"/>
              <w:bottom w:val="single" w:sz="4" w:space="0" w:color="auto"/>
              <w:right w:val="single" w:sz="4" w:space="0" w:color="auto"/>
            </w:tcBorders>
            <w:vAlign w:val="center"/>
            <w:hideMark/>
          </w:tcPr>
          <w:p w14:paraId="19D49055" w14:textId="77777777" w:rsidR="00873B38" w:rsidRPr="00C3521F" w:rsidRDefault="00873B38" w:rsidP="00873B38">
            <w:pPr>
              <w:spacing w:before="0"/>
              <w:rPr>
                <w:rFonts w:eastAsia="Times New Roman"/>
                <w:color w:val="000000"/>
                <w:sz w:val="20"/>
                <w:lang w:val="en-GB" w:eastAsia="fr-FR"/>
              </w:rPr>
            </w:pPr>
            <w:r w:rsidRPr="00C3521F">
              <w:rPr>
                <w:rFonts w:eastAsia="Times New Roman"/>
                <w:color w:val="000000"/>
                <w:sz w:val="20"/>
                <w:lang w:val="en-GB" w:eastAsia="fr-FR"/>
              </w:rPr>
              <w:t>Short textual description of the scheme.</w:t>
            </w:r>
          </w:p>
        </w:tc>
      </w:tr>
    </w:tbl>
    <w:p w14:paraId="0B916AC7" w14:textId="77777777" w:rsidR="00873B38" w:rsidRDefault="00873B38" w:rsidP="00F23DF6">
      <w:pPr>
        <w:rPr>
          <w:lang w:val="en-GB"/>
        </w:rPr>
      </w:pPr>
    </w:p>
    <w:p w14:paraId="3C232F3D" w14:textId="77E8983B" w:rsidR="00CA304B" w:rsidRDefault="00004B12" w:rsidP="00004B12">
      <w:pPr>
        <w:pStyle w:val="ListParagraph"/>
        <w:numPr>
          <w:ilvl w:val="0"/>
          <w:numId w:val="24"/>
        </w:numPr>
        <w:rPr>
          <w:b/>
          <w:bCs/>
          <w:sz w:val="24"/>
          <w:szCs w:val="24"/>
        </w:rPr>
      </w:pPr>
      <w:r w:rsidRPr="00C3521F">
        <w:rPr>
          <w:b/>
          <w:bCs/>
          <w:sz w:val="24"/>
          <w:szCs w:val="24"/>
        </w:rPr>
        <w:t>Inclusion of the Gating event condition code &lt;Cd&gt;GATE&lt;/Cd&gt; in T2S semt.027 registered message</w:t>
      </w:r>
    </w:p>
    <w:p w14:paraId="1B867620" w14:textId="77777777" w:rsidR="00C3521F" w:rsidRPr="00C3521F" w:rsidRDefault="00C3521F" w:rsidP="00C3521F">
      <w:pPr>
        <w:pStyle w:val="ListParagraph"/>
        <w:rPr>
          <w:b/>
          <w:bCs/>
          <w:sz w:val="24"/>
          <w:szCs w:val="24"/>
        </w:rPr>
      </w:pPr>
    </w:p>
    <w:p w14:paraId="7FDEDFEF" w14:textId="77777777" w:rsidR="00004B12" w:rsidRPr="00106012" w:rsidRDefault="00004B12" w:rsidP="00F23DF6">
      <w:pPr>
        <w:pStyle w:val="ListParagraph"/>
        <w:numPr>
          <w:ilvl w:val="0"/>
          <w:numId w:val="28"/>
        </w:numPr>
        <w:rPr>
          <w:rFonts w:ascii="Times New Roman" w:hAnsi="Times New Roman"/>
        </w:rPr>
      </w:pPr>
      <w:r w:rsidRPr="00106012">
        <w:rPr>
          <w:rFonts w:ascii="Times New Roman" w:hAnsi="Times New Roman"/>
        </w:rPr>
        <w:t xml:space="preserve">XML - </w:t>
      </w:r>
      <w:proofErr w:type="gramStart"/>
      <w:r w:rsidRPr="00106012">
        <w:rPr>
          <w:rFonts w:ascii="Times New Roman" w:hAnsi="Times New Roman"/>
        </w:rPr>
        <w:t>Path :</w:t>
      </w:r>
      <w:proofErr w:type="gramEnd"/>
      <w:r w:rsidRPr="00106012">
        <w:rPr>
          <w:rFonts w:ascii="Times New Roman" w:hAnsi="Times New Roman"/>
        </w:rPr>
        <w:t xml:space="preserve"> /Document/SctiesSttlmTxQryRspn/Txs/Tx/TxDtls/SttlmParams/SttlmTxCond/Cd</w:t>
      </w:r>
    </w:p>
    <w:p w14:paraId="3344064B" w14:textId="77777777" w:rsidR="00004B12" w:rsidRPr="00B662BE" w:rsidRDefault="00004B12" w:rsidP="00F23DF6">
      <w:pPr>
        <w:pStyle w:val="ListParagraph"/>
        <w:numPr>
          <w:ilvl w:val="0"/>
          <w:numId w:val="28"/>
        </w:numPr>
        <w:rPr>
          <w:rFonts w:ascii="Times New Roman" w:hAnsi="Times New Roman"/>
          <w:lang w:val="de-DE"/>
        </w:rPr>
      </w:pPr>
      <w:r w:rsidRPr="00B662BE">
        <w:rPr>
          <w:rFonts w:ascii="Times New Roman" w:hAnsi="Times New Roman"/>
          <w:lang w:val="de-DE"/>
        </w:rPr>
        <w:t>Message Element &lt;XML Tag&gt; : Code &lt;Cd&gt;</w:t>
      </w:r>
    </w:p>
    <w:p w14:paraId="18D0043B" w14:textId="77777777" w:rsidR="00004B12" w:rsidRPr="00106012" w:rsidRDefault="00004B12" w:rsidP="00F23DF6">
      <w:pPr>
        <w:pStyle w:val="ListParagraph"/>
        <w:numPr>
          <w:ilvl w:val="0"/>
          <w:numId w:val="28"/>
        </w:numPr>
        <w:rPr>
          <w:rFonts w:ascii="Times New Roman" w:hAnsi="Times New Roman"/>
        </w:rPr>
      </w:pPr>
      <w:r w:rsidRPr="00106012">
        <w:rPr>
          <w:rFonts w:ascii="Times New Roman" w:hAnsi="Times New Roman"/>
        </w:rPr>
        <w:t>Datatype: “SettlementTransactionCondition16Code”</w:t>
      </w:r>
    </w:p>
    <w:p w14:paraId="6885E9EE" w14:textId="1A6B134C" w:rsidR="00004B12" w:rsidRPr="00004B12" w:rsidRDefault="00004B12" w:rsidP="00004B12">
      <w:r w:rsidRPr="00004B12">
        <w:t xml:space="preserve">New code [GATE] within the </w:t>
      </w:r>
      <w:proofErr w:type="spellStart"/>
      <w:r w:rsidRPr="00004B12">
        <w:t>CodeSet</w:t>
      </w:r>
      <w:proofErr w:type="spellEnd"/>
      <w:r w:rsidRPr="00004B12">
        <w:t xml:space="preserve"> list:</w:t>
      </w:r>
    </w:p>
    <w:tbl>
      <w:tblPr>
        <w:tblW w:w="8260" w:type="dxa"/>
        <w:tblCellMar>
          <w:left w:w="70" w:type="dxa"/>
          <w:right w:w="70" w:type="dxa"/>
        </w:tblCellMar>
        <w:tblLook w:val="04A0" w:firstRow="1" w:lastRow="0" w:firstColumn="1" w:lastColumn="0" w:noHBand="0" w:noVBand="1"/>
      </w:tblPr>
      <w:tblGrid>
        <w:gridCol w:w="1340"/>
        <w:gridCol w:w="3460"/>
        <w:gridCol w:w="3460"/>
      </w:tblGrid>
      <w:tr w:rsidR="00004B12" w:rsidRPr="00004B12" w14:paraId="1C8F8E9B" w14:textId="77777777" w:rsidTr="00004B12">
        <w:trPr>
          <w:trHeight w:val="264"/>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1E2154E5" w14:textId="77777777" w:rsidR="00004B12" w:rsidRPr="00004B12" w:rsidRDefault="00004B12" w:rsidP="00004B12">
            <w:pPr>
              <w:spacing w:before="0"/>
              <w:rPr>
                <w:rFonts w:eastAsia="Times New Roman"/>
                <w:b/>
                <w:bCs/>
                <w:color w:val="000000"/>
                <w:sz w:val="20"/>
                <w:u w:val="single"/>
                <w:lang w:val="fr-FR" w:eastAsia="fr-FR"/>
              </w:rPr>
            </w:pPr>
            <w:r w:rsidRPr="00004B12">
              <w:rPr>
                <w:rFonts w:eastAsia="Times New Roman"/>
                <w:b/>
                <w:bCs/>
                <w:color w:val="000000"/>
                <w:sz w:val="20"/>
                <w:u w:val="single"/>
                <w:lang w:val="fr-FR" w:eastAsia="fr-FR"/>
              </w:rPr>
              <w:t>Code</w:t>
            </w:r>
          </w:p>
        </w:tc>
        <w:tc>
          <w:tcPr>
            <w:tcW w:w="3460" w:type="dxa"/>
            <w:tcBorders>
              <w:top w:val="single" w:sz="4" w:space="0" w:color="auto"/>
              <w:left w:val="nil"/>
              <w:bottom w:val="single" w:sz="4" w:space="0" w:color="auto"/>
              <w:right w:val="single" w:sz="4" w:space="0" w:color="auto"/>
            </w:tcBorders>
            <w:noWrap/>
            <w:vAlign w:val="center"/>
            <w:hideMark/>
          </w:tcPr>
          <w:p w14:paraId="7FC29627" w14:textId="77777777" w:rsidR="00004B12" w:rsidRPr="00004B12" w:rsidRDefault="00004B12" w:rsidP="00004B12">
            <w:pPr>
              <w:spacing w:before="0"/>
              <w:rPr>
                <w:rFonts w:eastAsia="Times New Roman"/>
                <w:b/>
                <w:bCs/>
                <w:color w:val="000000"/>
                <w:sz w:val="20"/>
                <w:u w:val="single"/>
                <w:lang w:val="fr-FR" w:eastAsia="fr-FR"/>
              </w:rPr>
            </w:pPr>
            <w:r w:rsidRPr="00004B12">
              <w:rPr>
                <w:rFonts w:eastAsia="Times New Roman"/>
                <w:b/>
                <w:bCs/>
                <w:color w:val="000000"/>
                <w:sz w:val="20"/>
                <w:u w:val="single"/>
                <w:lang w:val="fr-FR" w:eastAsia="fr-FR"/>
              </w:rPr>
              <w:t>Value</w:t>
            </w:r>
          </w:p>
        </w:tc>
        <w:tc>
          <w:tcPr>
            <w:tcW w:w="3460" w:type="dxa"/>
            <w:tcBorders>
              <w:top w:val="single" w:sz="4" w:space="0" w:color="auto"/>
              <w:left w:val="nil"/>
              <w:bottom w:val="single" w:sz="4" w:space="0" w:color="auto"/>
              <w:right w:val="single" w:sz="4" w:space="0" w:color="auto"/>
            </w:tcBorders>
            <w:noWrap/>
            <w:vAlign w:val="center"/>
            <w:hideMark/>
          </w:tcPr>
          <w:p w14:paraId="67074283" w14:textId="77777777" w:rsidR="00004B12" w:rsidRPr="00004B12" w:rsidRDefault="00004B12" w:rsidP="00004B12">
            <w:pPr>
              <w:spacing w:before="0"/>
              <w:rPr>
                <w:rFonts w:eastAsia="Times New Roman"/>
                <w:b/>
                <w:bCs/>
                <w:color w:val="000000"/>
                <w:sz w:val="20"/>
                <w:u w:val="single"/>
                <w:lang w:val="fr-FR" w:eastAsia="fr-FR"/>
              </w:rPr>
            </w:pPr>
            <w:proofErr w:type="spellStart"/>
            <w:r w:rsidRPr="00004B12">
              <w:rPr>
                <w:rFonts w:eastAsia="Times New Roman"/>
                <w:b/>
                <w:bCs/>
                <w:color w:val="000000"/>
                <w:sz w:val="20"/>
                <w:u w:val="single"/>
                <w:lang w:val="fr-FR" w:eastAsia="fr-FR"/>
              </w:rPr>
              <w:t>Definition</w:t>
            </w:r>
            <w:proofErr w:type="spellEnd"/>
          </w:p>
        </w:tc>
      </w:tr>
      <w:tr w:rsidR="00004B12" w:rsidRPr="00C3521F" w14:paraId="118D1B7D" w14:textId="77777777" w:rsidTr="00004B12">
        <w:trPr>
          <w:trHeight w:val="528"/>
        </w:trPr>
        <w:tc>
          <w:tcPr>
            <w:tcW w:w="1340" w:type="dxa"/>
            <w:tcBorders>
              <w:top w:val="nil"/>
              <w:left w:val="single" w:sz="4" w:space="0" w:color="auto"/>
              <w:bottom w:val="single" w:sz="4" w:space="0" w:color="auto"/>
              <w:right w:val="single" w:sz="4" w:space="0" w:color="auto"/>
            </w:tcBorders>
            <w:shd w:val="clear" w:color="000000" w:fill="D8E4BC"/>
            <w:noWrap/>
            <w:vAlign w:val="center"/>
            <w:hideMark/>
          </w:tcPr>
          <w:p w14:paraId="4A5EA32E" w14:textId="77777777" w:rsidR="00004B12" w:rsidRPr="00004B12" w:rsidRDefault="00004B12" w:rsidP="00004B12">
            <w:pPr>
              <w:spacing w:before="0"/>
              <w:rPr>
                <w:rFonts w:eastAsia="Times New Roman"/>
                <w:b/>
                <w:bCs/>
                <w:color w:val="000000"/>
                <w:sz w:val="20"/>
                <w:lang w:val="fr-FR" w:eastAsia="fr-FR"/>
              </w:rPr>
            </w:pPr>
            <w:r w:rsidRPr="00004B12">
              <w:rPr>
                <w:rFonts w:eastAsia="Times New Roman"/>
                <w:b/>
                <w:bCs/>
                <w:color w:val="000000"/>
                <w:sz w:val="20"/>
                <w:lang w:val="fr-FR" w:eastAsia="fr-FR"/>
              </w:rPr>
              <w:t>GATE</w:t>
            </w:r>
          </w:p>
        </w:tc>
        <w:tc>
          <w:tcPr>
            <w:tcW w:w="3460" w:type="dxa"/>
            <w:tcBorders>
              <w:top w:val="nil"/>
              <w:left w:val="nil"/>
              <w:bottom w:val="single" w:sz="4" w:space="0" w:color="auto"/>
              <w:right w:val="single" w:sz="4" w:space="0" w:color="auto"/>
            </w:tcBorders>
            <w:shd w:val="clear" w:color="000000" w:fill="D8E4BC"/>
            <w:noWrap/>
            <w:vAlign w:val="center"/>
            <w:hideMark/>
          </w:tcPr>
          <w:p w14:paraId="2BA6F181" w14:textId="343E6EEE" w:rsidR="00004B12" w:rsidRPr="00004B12" w:rsidRDefault="00004B12" w:rsidP="00004B12">
            <w:pPr>
              <w:spacing w:before="0"/>
              <w:rPr>
                <w:rFonts w:eastAsia="Times New Roman"/>
                <w:b/>
                <w:bCs/>
                <w:color w:val="000000"/>
                <w:sz w:val="20"/>
                <w:lang w:val="fr-FR" w:eastAsia="fr-FR"/>
              </w:rPr>
            </w:pPr>
            <w:proofErr w:type="spellStart"/>
            <w:r w:rsidRPr="00004B12">
              <w:rPr>
                <w:rFonts w:eastAsia="Times New Roman"/>
                <w:b/>
                <w:bCs/>
                <w:color w:val="000000"/>
                <w:sz w:val="20"/>
                <w:lang w:val="fr-FR" w:eastAsia="fr-FR"/>
              </w:rPr>
              <w:t>Gating</w:t>
            </w:r>
            <w:proofErr w:type="spellEnd"/>
            <w:r w:rsidR="001A2394">
              <w:rPr>
                <w:rFonts w:eastAsia="Times New Roman"/>
                <w:b/>
                <w:bCs/>
                <w:color w:val="000000"/>
                <w:sz w:val="20"/>
                <w:lang w:val="fr-FR" w:eastAsia="fr-FR"/>
              </w:rPr>
              <w:t xml:space="preserve"> </w:t>
            </w:r>
            <w:r w:rsidRPr="00004B12">
              <w:rPr>
                <w:rFonts w:eastAsia="Times New Roman"/>
                <w:b/>
                <w:bCs/>
                <w:color w:val="000000"/>
                <w:sz w:val="20"/>
                <w:lang w:val="fr-FR" w:eastAsia="fr-FR"/>
              </w:rPr>
              <w:t>Event</w:t>
            </w:r>
            <w:r w:rsidR="001A2394">
              <w:rPr>
                <w:rFonts w:eastAsia="Times New Roman"/>
                <w:b/>
                <w:bCs/>
                <w:color w:val="000000"/>
                <w:sz w:val="20"/>
                <w:lang w:val="fr-FR" w:eastAsia="fr-FR"/>
              </w:rPr>
              <w:t xml:space="preserve"> </w:t>
            </w:r>
            <w:r w:rsidRPr="00004B12">
              <w:rPr>
                <w:rFonts w:eastAsia="Times New Roman"/>
                <w:b/>
                <w:bCs/>
                <w:color w:val="000000"/>
                <w:sz w:val="20"/>
                <w:lang w:val="fr-FR" w:eastAsia="fr-FR"/>
              </w:rPr>
              <w:t>Participation</w:t>
            </w:r>
          </w:p>
        </w:tc>
        <w:tc>
          <w:tcPr>
            <w:tcW w:w="3460" w:type="dxa"/>
            <w:tcBorders>
              <w:top w:val="nil"/>
              <w:left w:val="nil"/>
              <w:bottom w:val="single" w:sz="4" w:space="0" w:color="auto"/>
              <w:right w:val="single" w:sz="4" w:space="0" w:color="auto"/>
            </w:tcBorders>
            <w:shd w:val="clear" w:color="000000" w:fill="D8E4BC"/>
            <w:vAlign w:val="center"/>
            <w:hideMark/>
          </w:tcPr>
          <w:p w14:paraId="3E8BBAE1" w14:textId="77777777" w:rsidR="00004B12" w:rsidRPr="00C3521F" w:rsidRDefault="00004B12" w:rsidP="00004B12">
            <w:pPr>
              <w:spacing w:before="0"/>
              <w:rPr>
                <w:rFonts w:eastAsia="Times New Roman"/>
                <w:b/>
                <w:bCs/>
                <w:color w:val="000000"/>
                <w:sz w:val="20"/>
                <w:lang w:val="en-GB" w:eastAsia="fr-FR"/>
              </w:rPr>
            </w:pPr>
            <w:r w:rsidRPr="00C3521F">
              <w:rPr>
                <w:rFonts w:eastAsia="Times New Roman"/>
                <w:b/>
                <w:bCs/>
                <w:color w:val="000000"/>
                <w:sz w:val="20"/>
                <w:lang w:val="en-GB" w:eastAsia="fr-FR"/>
              </w:rPr>
              <w:t>Gating event participation. Hold until event start time.</w:t>
            </w:r>
          </w:p>
        </w:tc>
      </w:tr>
    </w:tbl>
    <w:p w14:paraId="7E8DFA33" w14:textId="77777777" w:rsidR="00004B12" w:rsidRDefault="00004B12" w:rsidP="00F23DF6">
      <w:pPr>
        <w:rPr>
          <w:lang w:val="en-GB"/>
        </w:rPr>
      </w:pPr>
    </w:p>
    <w:p w14:paraId="3BB91AEE" w14:textId="1155F016" w:rsidR="005246BE" w:rsidRDefault="005246BE" w:rsidP="00F23DF6">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EC9DCD3" w14:textId="2169418A" w:rsidR="006D4A37" w:rsidRDefault="00F23DF6" w:rsidP="00A9056F">
      <w:pPr>
        <w:jc w:val="both"/>
      </w:pPr>
      <w:r>
        <w:rPr>
          <w:lang w:val="en-GB"/>
        </w:rPr>
        <w:t xml:space="preserve">The </w:t>
      </w:r>
      <w:r>
        <w:t xml:space="preserve">inclusion of the Gating event condition </w:t>
      </w:r>
      <w:r w:rsidR="001807C9">
        <w:t xml:space="preserve">code </w:t>
      </w:r>
      <w:r w:rsidR="00C146F3" w:rsidRPr="00C146F3">
        <w:t>&lt;Cd&gt;GATE&lt;/Cd&gt;</w:t>
      </w:r>
      <w:r w:rsidR="005E4352" w:rsidRPr="005E4352">
        <w:t xml:space="preserve"> – Gating Event participation</w:t>
      </w:r>
      <w:r w:rsidR="00C146F3" w:rsidRPr="00C146F3">
        <w:t xml:space="preserve"> </w:t>
      </w:r>
      <w:r w:rsidR="00C146F3">
        <w:t xml:space="preserve">within element </w:t>
      </w:r>
      <w:r w:rsidR="00C146F3" w:rsidRPr="00C146F3">
        <w:t>&lt;</w:t>
      </w:r>
      <w:proofErr w:type="spellStart"/>
      <w:r w:rsidR="00C146F3" w:rsidRPr="00C146F3">
        <w:t>SttlmTxCond</w:t>
      </w:r>
      <w:proofErr w:type="spellEnd"/>
      <w:r w:rsidR="00C146F3" w:rsidRPr="00C146F3">
        <w:t xml:space="preserve">&gt; </w:t>
      </w:r>
      <w:r w:rsidR="005E4352">
        <w:t xml:space="preserve">- </w:t>
      </w:r>
      <w:r w:rsidR="00C146F3" w:rsidRPr="00C146F3">
        <w:t xml:space="preserve">Settlement Transaction Condition </w:t>
      </w:r>
      <w:r w:rsidR="000A5BD7">
        <w:t xml:space="preserve">in semt.026 and semt.027 </w:t>
      </w:r>
      <w:r w:rsidR="001807C9">
        <w:t xml:space="preserve">registered messages </w:t>
      </w:r>
      <w:r w:rsidR="000A5BD7">
        <w:t xml:space="preserve">aligns the messages with the ones already updated regarding the Gating event </w:t>
      </w:r>
      <w:r w:rsidR="001807C9">
        <w:t xml:space="preserve">condition </w:t>
      </w:r>
      <w:r w:rsidR="000A5BD7">
        <w:t xml:space="preserve">code and ensures that the </w:t>
      </w:r>
      <w:r w:rsidR="001807C9">
        <w:t xml:space="preserve">registered </w:t>
      </w:r>
      <w:r w:rsidR="000A5BD7">
        <w:t>messages can be used by the market as expected.</w:t>
      </w:r>
      <w:r w:rsidR="006029B9">
        <w:t xml:space="preserve"> In this </w:t>
      </w:r>
      <w:r w:rsidR="00AF0827">
        <w:t>regard</w:t>
      </w:r>
      <w:r w:rsidR="006029B9">
        <w:t>, two changes seem necessary:</w:t>
      </w:r>
    </w:p>
    <w:p w14:paraId="6E26EDFA" w14:textId="77777777" w:rsidR="006029B9" w:rsidRDefault="006029B9" w:rsidP="00A9056F">
      <w:pPr>
        <w:jc w:val="both"/>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1816C37" w14:textId="12EEB126" w:rsidR="00862724" w:rsidRDefault="00862724" w:rsidP="00A9056F">
      <w:pPr>
        <w:jc w:val="both"/>
        <w:rPr>
          <w:szCs w:val="24"/>
          <w:lang w:val="en-GB"/>
        </w:rPr>
      </w:pPr>
      <w:r w:rsidRPr="00A9056F">
        <w:rPr>
          <w:szCs w:val="24"/>
          <w:lang w:val="en-GB"/>
        </w:rPr>
        <w:t xml:space="preserve">We request the </w:t>
      </w:r>
      <w:r w:rsidR="00700648">
        <w:rPr>
          <w:szCs w:val="24"/>
          <w:lang w:val="en-GB"/>
        </w:rPr>
        <w:t xml:space="preserve">securities </w:t>
      </w:r>
      <w:r w:rsidRPr="00A9056F">
        <w:rPr>
          <w:szCs w:val="24"/>
          <w:lang w:val="en-GB"/>
        </w:rPr>
        <w:t xml:space="preserve">SEG to consider this change request for the </w:t>
      </w:r>
      <w:r w:rsidR="00700648">
        <w:rPr>
          <w:szCs w:val="24"/>
          <w:lang w:val="en-GB"/>
        </w:rPr>
        <w:t>next</w:t>
      </w:r>
      <w:r w:rsidRPr="00A9056F">
        <w:rPr>
          <w:szCs w:val="24"/>
          <w:lang w:val="en-GB"/>
        </w:rPr>
        <w:t xml:space="preserve"> maintenance cycle (202</w:t>
      </w:r>
      <w:r w:rsidR="00700648">
        <w:rPr>
          <w:szCs w:val="24"/>
          <w:lang w:val="en-GB"/>
        </w:rPr>
        <w:t>6</w:t>
      </w:r>
      <w:r w:rsidRPr="00A9056F">
        <w:rPr>
          <w:szCs w:val="24"/>
          <w:lang w:val="en-GB"/>
        </w:rPr>
        <w:t>/202</w:t>
      </w:r>
      <w:r w:rsidR="00700648">
        <w:rPr>
          <w:szCs w:val="24"/>
          <w:lang w:val="en-GB"/>
        </w:rPr>
        <w:t>7</w:t>
      </w:r>
      <w:r w:rsidRPr="00A9056F">
        <w:rPr>
          <w:szCs w:val="24"/>
          <w:lang w:val="en-GB"/>
        </w:rPr>
        <w:t>).</w:t>
      </w:r>
      <w:r w:rsidR="003C36A1">
        <w:rPr>
          <w:szCs w:val="24"/>
          <w:lang w:val="en-GB"/>
        </w:rPr>
        <w:t xml:space="preserve"> </w:t>
      </w:r>
      <w:r w:rsidRPr="00862724">
        <w:rPr>
          <w:szCs w:val="24"/>
          <w:lang w:val="en-GB"/>
        </w:rPr>
        <w:t>It may allow the semt.026 and semt.027 schema compliant.</w:t>
      </w:r>
    </w:p>
    <w:p w14:paraId="7F019A57" w14:textId="77777777" w:rsidR="00862724" w:rsidRDefault="00862724" w:rsidP="00C3521F">
      <w:pPr>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8707F88" w14:textId="5C541557" w:rsidR="003A0671" w:rsidRPr="003678F2" w:rsidRDefault="003A0671" w:rsidP="003A0671">
      <w:pPr>
        <w:jc w:val="both"/>
        <w:rPr>
          <w:rFonts w:cs="Arial"/>
        </w:rPr>
      </w:pPr>
      <w:r w:rsidRPr="003678F2">
        <w:rPr>
          <w:rFonts w:cs="Arial"/>
        </w:rPr>
        <w:t xml:space="preserve">The Securities Settlement Transaction Query </w:t>
      </w:r>
      <w:r>
        <w:rPr>
          <w:rFonts w:cs="Arial"/>
        </w:rPr>
        <w:t xml:space="preserve">message (semt.026) </w:t>
      </w:r>
      <w:r w:rsidRPr="003678F2">
        <w:rPr>
          <w:rFonts w:cs="Arial"/>
        </w:rPr>
        <w:t xml:space="preserve">allows </w:t>
      </w:r>
      <w:r w:rsidRPr="00E84C08">
        <w:rPr>
          <w:rFonts w:cs="Arial"/>
        </w:rPr>
        <w:t>Central Securities Depositor</w:t>
      </w:r>
      <w:r>
        <w:rPr>
          <w:rFonts w:cs="Arial"/>
        </w:rPr>
        <w:t>ies</w:t>
      </w:r>
      <w:r w:rsidRPr="00E84C08">
        <w:rPr>
          <w:rFonts w:cs="Arial"/>
        </w:rPr>
        <w:t xml:space="preserve"> or directly connected T2S participant</w:t>
      </w:r>
      <w:r>
        <w:rPr>
          <w:rFonts w:cs="Arial"/>
        </w:rPr>
        <w:t>s</w:t>
      </w:r>
      <w:r w:rsidRPr="00E84C08">
        <w:rPr>
          <w:rFonts w:cs="Arial"/>
        </w:rPr>
        <w:t xml:space="preserve"> </w:t>
      </w:r>
      <w:r w:rsidRPr="003678F2">
        <w:rPr>
          <w:rFonts w:cs="Arial"/>
        </w:rPr>
        <w:t xml:space="preserve">acting as the instruction party to query all settlement </w:t>
      </w:r>
      <w:r>
        <w:rPr>
          <w:rFonts w:cs="Arial"/>
        </w:rPr>
        <w:t>instructions</w:t>
      </w:r>
      <w:r w:rsidRPr="003678F2">
        <w:rPr>
          <w:rFonts w:cs="Arial"/>
        </w:rPr>
        <w:t xml:space="preserve"> satisfying a set of criteria</w:t>
      </w:r>
      <w:r w:rsidRPr="000E1651">
        <w:t xml:space="preserve"> </w:t>
      </w:r>
      <w:r w:rsidRPr="000E1651">
        <w:rPr>
          <w:rFonts w:cs="Arial"/>
        </w:rPr>
        <w:t>and which covers several message usages depending on the type of query</w:t>
      </w:r>
      <w:r w:rsidRPr="003678F2">
        <w:rPr>
          <w:rFonts w:cs="Arial"/>
        </w:rPr>
        <w:t>:</w:t>
      </w:r>
    </w:p>
    <w:p w14:paraId="4ED94478" w14:textId="77777777" w:rsidR="003A0671" w:rsidRPr="00761645" w:rsidRDefault="003A0671" w:rsidP="003A0671">
      <w:pPr>
        <w:pStyle w:val="ListParagraph"/>
        <w:numPr>
          <w:ilvl w:val="0"/>
          <w:numId w:val="22"/>
        </w:numPr>
        <w:suppressAutoHyphens w:val="0"/>
        <w:spacing w:before="140"/>
        <w:jc w:val="both"/>
        <w:rPr>
          <w:rFonts w:ascii="Times New Roman" w:hAnsi="Times New Roman"/>
          <w:sz w:val="24"/>
          <w:szCs w:val="24"/>
        </w:rPr>
      </w:pPr>
      <w:r w:rsidRPr="00761645">
        <w:rPr>
          <w:rFonts w:ascii="Times New Roman" w:hAnsi="Times New Roman"/>
          <w:sz w:val="24"/>
          <w:szCs w:val="24"/>
        </w:rPr>
        <w:t>Settlement Instruction Query (corresponding query type - 'Instruction').</w:t>
      </w:r>
    </w:p>
    <w:p w14:paraId="0024950D" w14:textId="77777777" w:rsidR="003A0671" w:rsidRPr="00761645" w:rsidRDefault="003A0671" w:rsidP="003A0671">
      <w:pPr>
        <w:pStyle w:val="ListParagraph"/>
        <w:numPr>
          <w:ilvl w:val="0"/>
          <w:numId w:val="22"/>
        </w:numPr>
        <w:suppressAutoHyphens w:val="0"/>
        <w:spacing w:before="140"/>
        <w:jc w:val="both"/>
        <w:rPr>
          <w:rFonts w:ascii="Times New Roman" w:hAnsi="Times New Roman"/>
          <w:sz w:val="24"/>
          <w:szCs w:val="24"/>
        </w:rPr>
      </w:pPr>
      <w:r w:rsidRPr="00761645">
        <w:rPr>
          <w:rFonts w:ascii="Times New Roman" w:hAnsi="Times New Roman"/>
          <w:sz w:val="24"/>
          <w:szCs w:val="24"/>
        </w:rPr>
        <w:t>Settlement Instruction Current Status Query (corresponding query type - 'Status').</w:t>
      </w:r>
    </w:p>
    <w:p w14:paraId="1676C4F4" w14:textId="77777777" w:rsidR="003A0671" w:rsidRPr="00761645" w:rsidRDefault="003A0671" w:rsidP="003A0671">
      <w:pPr>
        <w:pStyle w:val="ListParagraph"/>
        <w:numPr>
          <w:ilvl w:val="0"/>
          <w:numId w:val="22"/>
        </w:numPr>
        <w:suppressAutoHyphens w:val="0"/>
        <w:spacing w:before="140"/>
        <w:jc w:val="both"/>
        <w:rPr>
          <w:rFonts w:ascii="Times New Roman" w:hAnsi="Times New Roman"/>
          <w:sz w:val="24"/>
          <w:szCs w:val="24"/>
        </w:rPr>
      </w:pPr>
      <w:r w:rsidRPr="00761645">
        <w:rPr>
          <w:rFonts w:ascii="Times New Roman" w:hAnsi="Times New Roman"/>
          <w:sz w:val="24"/>
          <w:szCs w:val="24"/>
        </w:rPr>
        <w:t>Settlement Instruction Status Audit Trail Query (corresponding query type - 'Status Period').</w:t>
      </w:r>
    </w:p>
    <w:p w14:paraId="5BF44090" w14:textId="7FC13100" w:rsidR="003A0671" w:rsidRPr="00B069DE" w:rsidRDefault="003A0671" w:rsidP="003A0671">
      <w:pPr>
        <w:jc w:val="both"/>
        <w:rPr>
          <w:rFonts w:cs="Arial"/>
        </w:rPr>
      </w:pPr>
      <w:r>
        <w:rPr>
          <w:rFonts w:cs="Arial"/>
        </w:rPr>
        <w:t>The</w:t>
      </w:r>
      <w:r w:rsidRPr="003678F2">
        <w:rPr>
          <w:rFonts w:cs="Arial"/>
        </w:rPr>
        <w:t xml:space="preserve"> Settlement Infrastructure</w:t>
      </w:r>
      <w:r>
        <w:rPr>
          <w:rFonts w:cs="Arial"/>
        </w:rPr>
        <w:t>/Executing party</w:t>
      </w:r>
      <w:r w:rsidRPr="003678F2">
        <w:rPr>
          <w:rFonts w:cs="Arial"/>
        </w:rPr>
        <w:t xml:space="preserve"> will return in re</w:t>
      </w:r>
      <w:r>
        <w:rPr>
          <w:rFonts w:cs="Arial"/>
        </w:rPr>
        <w:t>s</w:t>
      </w:r>
      <w:r w:rsidRPr="003678F2">
        <w:rPr>
          <w:rFonts w:cs="Arial"/>
        </w:rPr>
        <w:t>pons</w:t>
      </w:r>
      <w:r>
        <w:rPr>
          <w:rFonts w:cs="Arial"/>
        </w:rPr>
        <w:t>e</w:t>
      </w:r>
      <w:r w:rsidRPr="003678F2">
        <w:rPr>
          <w:rFonts w:cs="Arial"/>
        </w:rPr>
        <w:t xml:space="preserve"> to the Securities Settlement Transaction Query message </w:t>
      </w:r>
      <w:r>
        <w:rPr>
          <w:rFonts w:cs="Arial"/>
        </w:rPr>
        <w:t xml:space="preserve">(semt.026) </w:t>
      </w:r>
      <w:r w:rsidRPr="003678F2">
        <w:rPr>
          <w:rFonts w:cs="Arial"/>
        </w:rPr>
        <w:t>the Securities Settlement Transaction Query Response</w:t>
      </w:r>
      <w:r>
        <w:rPr>
          <w:rFonts w:cs="Arial"/>
        </w:rPr>
        <w:t xml:space="preserve"> via semt.027 </w:t>
      </w:r>
      <w:r w:rsidRPr="003678F2">
        <w:rPr>
          <w:rFonts w:cs="Arial"/>
        </w:rPr>
        <w:t xml:space="preserve">providing all current attributes and latest statuses for all settlement </w:t>
      </w:r>
      <w:r>
        <w:rPr>
          <w:rFonts w:cs="Arial"/>
        </w:rPr>
        <w:t>instructions</w:t>
      </w:r>
      <w:r w:rsidRPr="003678F2">
        <w:rPr>
          <w:rFonts w:cs="Arial"/>
        </w:rPr>
        <w:t xml:space="preserve"> as selected in the search criteria defined in the query</w:t>
      </w:r>
      <w:r>
        <w:rPr>
          <w:rFonts w:cs="Arial"/>
        </w:rPr>
        <w:t xml:space="preserve"> message</w:t>
      </w:r>
      <w:r w:rsidRPr="003678F2">
        <w:rPr>
          <w:rFonts w:cs="Arial"/>
        </w:rPr>
        <w:t>.</w:t>
      </w:r>
    </w:p>
    <w:p w14:paraId="37EABB72" w14:textId="77777777" w:rsidR="00820591" w:rsidRDefault="00820591" w:rsidP="00A9056F">
      <w:pPr>
        <w:jc w:val="both"/>
        <w:rPr>
          <w:b/>
          <w:bCs/>
          <w:i/>
          <w:iCs/>
          <w:u w:val="single"/>
          <w:lang w:val="en-GB"/>
        </w:rPr>
      </w:pPr>
    </w:p>
    <w:p w14:paraId="21F1B915" w14:textId="17266B30" w:rsidR="003A0671" w:rsidRPr="00761645" w:rsidRDefault="003A0671" w:rsidP="00A9056F">
      <w:pPr>
        <w:jc w:val="both"/>
        <w:rPr>
          <w:b/>
          <w:bCs/>
          <w:i/>
          <w:iCs/>
          <w:u w:val="single"/>
          <w:lang w:val="en-GB"/>
        </w:rPr>
      </w:pPr>
      <w:r w:rsidRPr="00761645">
        <w:rPr>
          <w:b/>
          <w:bCs/>
          <w:i/>
          <w:iCs/>
          <w:u w:val="single"/>
          <w:lang w:val="en-GB"/>
        </w:rPr>
        <w:t>Communication flow</w:t>
      </w:r>
    </w:p>
    <w:p w14:paraId="3265E599" w14:textId="301B4A38" w:rsidR="003A0671" w:rsidRDefault="00761645" w:rsidP="00A9056F">
      <w:pPr>
        <w:jc w:val="both"/>
        <w:rPr>
          <w:lang w:val="en-GB"/>
        </w:rPr>
      </w:pPr>
      <w:r w:rsidRPr="009C1047">
        <w:rPr>
          <w:rFonts w:cs="Arial"/>
          <w:noProof/>
        </w:rPr>
        <w:lastRenderedPageBreak/>
        <w:drawing>
          <wp:inline distT="0" distB="0" distL="0" distR="0" wp14:anchorId="21FB07D5" wp14:editId="5B9EF134">
            <wp:extent cx="5698490" cy="2133600"/>
            <wp:effectExtent l="0" t="0" r="0" b="0"/>
            <wp:docPr id="10506091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09166" name=""/>
                    <pic:cNvPicPr/>
                  </pic:nvPicPr>
                  <pic:blipFill>
                    <a:blip r:embed="rId12"/>
                    <a:stretch>
                      <a:fillRect/>
                    </a:stretch>
                  </pic:blipFill>
                  <pic:spPr>
                    <a:xfrm>
                      <a:off x="0" y="0"/>
                      <a:ext cx="5726898" cy="2144236"/>
                    </a:xfrm>
                    <a:prstGeom prst="rect">
                      <a:avLst/>
                    </a:prstGeom>
                  </pic:spPr>
                </pic:pic>
              </a:graphicData>
            </a:graphic>
          </wp:inline>
        </w:drawing>
      </w:r>
    </w:p>
    <w:p w14:paraId="49AD97ED" w14:textId="77777777" w:rsidR="00C3521F" w:rsidRDefault="00C3521F" w:rsidP="00A9056F">
      <w:pPr>
        <w:jc w:val="both"/>
        <w:rPr>
          <w:lang w:val="en-GB"/>
        </w:rPr>
      </w:pPr>
    </w:p>
    <w:p w14:paraId="0FF069B7" w14:textId="22EE18F6" w:rsidR="00783891" w:rsidRPr="00134502" w:rsidRDefault="000408BA" w:rsidP="00A9056F">
      <w:pPr>
        <w:jc w:val="both"/>
        <w:rPr>
          <w:b/>
          <w:bCs/>
          <w:i/>
          <w:iCs/>
          <w:u w:val="single"/>
          <w:lang w:val="en-GB"/>
        </w:rPr>
      </w:pPr>
      <w:r w:rsidRPr="00134502">
        <w:rPr>
          <w:b/>
          <w:bCs/>
          <w:i/>
          <w:iCs/>
          <w:u w:val="single"/>
          <w:lang w:val="en-GB"/>
        </w:rPr>
        <w:t>Example</w:t>
      </w:r>
      <w:r w:rsidR="0085530C" w:rsidRPr="00134502">
        <w:rPr>
          <w:b/>
          <w:bCs/>
          <w:i/>
          <w:iCs/>
          <w:u w:val="single"/>
          <w:lang w:val="en-GB"/>
        </w:rPr>
        <w:t>s</w:t>
      </w:r>
      <w:r w:rsidRPr="00134502">
        <w:rPr>
          <w:b/>
          <w:bCs/>
          <w:i/>
          <w:iCs/>
          <w:u w:val="single"/>
          <w:lang w:val="en-GB"/>
        </w:rPr>
        <w:t xml:space="preserve"> illustrating the change request</w:t>
      </w:r>
    </w:p>
    <w:p w14:paraId="2E8DD91D" w14:textId="77777777" w:rsidR="007430BD" w:rsidRPr="00134502" w:rsidRDefault="007430BD" w:rsidP="007430BD">
      <w:pPr>
        <w:jc w:val="both"/>
        <w:rPr>
          <w:b/>
          <w:bCs/>
          <w:lang w:val="en-GB"/>
        </w:rPr>
      </w:pPr>
      <w:r w:rsidRPr="00134502">
        <w:rPr>
          <w:b/>
          <w:bCs/>
          <w:lang w:val="en-GB"/>
        </w:rPr>
        <w:t xml:space="preserve">Semt.026 - Query Type Example: Settlement Instruction Current Status </w:t>
      </w:r>
      <w:proofErr w:type="spellStart"/>
      <w:r w:rsidRPr="00134502">
        <w:rPr>
          <w:b/>
          <w:bCs/>
          <w:lang w:val="en-GB"/>
        </w:rPr>
        <w:t>QuerySettlement</w:t>
      </w:r>
      <w:proofErr w:type="spellEnd"/>
      <w:r w:rsidRPr="00134502">
        <w:rPr>
          <w:b/>
          <w:bCs/>
          <w:lang w:val="en-GB"/>
        </w:rPr>
        <w:t xml:space="preserve"> Instruction Current Status Query</w:t>
      </w:r>
    </w:p>
    <w:p w14:paraId="27D77988" w14:textId="787A935D" w:rsidR="008E3F75" w:rsidRDefault="007430BD" w:rsidP="007430BD">
      <w:pPr>
        <w:jc w:val="both"/>
        <w:rPr>
          <w:lang w:val="en-GB"/>
        </w:rPr>
      </w:pPr>
      <w:r w:rsidRPr="007430BD">
        <w:rPr>
          <w:lang w:val="en-GB"/>
        </w:rPr>
        <w:t xml:space="preserve">In this example a Direct Connected Participant (DCP) sends to the Settlement Infrastructure Platform a Settlement Instruction Current Status Query requesting all settlement instructions for securities account ‘1000000123’ where the settlement status is pending </w:t>
      </w:r>
      <w:r w:rsidR="00D03827">
        <w:rPr>
          <w:lang w:val="en-GB"/>
        </w:rPr>
        <w:t>a</w:t>
      </w:r>
      <w:r w:rsidRPr="007430BD">
        <w:rPr>
          <w:lang w:val="en-GB"/>
        </w:rPr>
        <w:t>waiting a gating event</w:t>
      </w:r>
      <w:r w:rsidR="00984219">
        <w:rPr>
          <w:lang w:val="en-GB"/>
        </w:rPr>
        <w:t xml:space="preserve"> on business date 05-05-2026</w:t>
      </w:r>
      <w:r w:rsidRPr="007430BD">
        <w:rPr>
          <w:lang w:val="en-GB"/>
        </w:rPr>
        <w:t>.</w:t>
      </w:r>
    </w:p>
    <w:p w14:paraId="068F86C5" w14:textId="5699315A" w:rsidR="006115CF" w:rsidRDefault="00984219" w:rsidP="00A9056F">
      <w:pPr>
        <w:jc w:val="both"/>
        <w:rPr>
          <w:lang w:val="en-GB"/>
        </w:rPr>
      </w:pPr>
      <w:r>
        <w:rPr>
          <w:noProof/>
          <w:lang w:val="en-GB"/>
        </w:rPr>
        <w:drawing>
          <wp:inline distT="0" distB="0" distL="0" distR="0" wp14:anchorId="714E7515" wp14:editId="488F23DF">
            <wp:extent cx="5691505" cy="2640330"/>
            <wp:effectExtent l="19050" t="19050" r="23495" b="26670"/>
            <wp:docPr id="4539834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1505" cy="2640330"/>
                    </a:xfrm>
                    <a:prstGeom prst="rect">
                      <a:avLst/>
                    </a:prstGeom>
                    <a:noFill/>
                    <a:ln w="15875">
                      <a:solidFill>
                        <a:schemeClr val="tx1"/>
                      </a:solidFill>
                    </a:ln>
                  </pic:spPr>
                </pic:pic>
              </a:graphicData>
            </a:graphic>
          </wp:inline>
        </w:drawing>
      </w:r>
    </w:p>
    <w:p w14:paraId="671F5FD4" w14:textId="77777777" w:rsidR="00496E01" w:rsidRDefault="00496E01" w:rsidP="00A9056F">
      <w:pPr>
        <w:jc w:val="both"/>
        <w:rPr>
          <w:lang w:val="en-GB"/>
        </w:rPr>
      </w:pPr>
    </w:p>
    <w:p w14:paraId="5BE2DF02" w14:textId="77777777" w:rsidR="00496E01" w:rsidRPr="00134502" w:rsidRDefault="00496E01" w:rsidP="00496E01">
      <w:pPr>
        <w:jc w:val="both"/>
        <w:rPr>
          <w:b/>
          <w:bCs/>
          <w:lang w:val="en-GB"/>
        </w:rPr>
      </w:pPr>
      <w:r w:rsidRPr="00134502">
        <w:rPr>
          <w:b/>
          <w:bCs/>
          <w:lang w:val="en-GB"/>
        </w:rPr>
        <w:t>Semt.027 - Query Response Example: Settlement Instruction Current Status Query Response</w:t>
      </w:r>
    </w:p>
    <w:p w14:paraId="40F8667B" w14:textId="0C184EC9" w:rsidR="00496E01" w:rsidRDefault="00496E01" w:rsidP="00496E01">
      <w:pPr>
        <w:jc w:val="both"/>
        <w:rPr>
          <w:lang w:val="en-GB"/>
        </w:rPr>
      </w:pPr>
      <w:r w:rsidRPr="00496E01">
        <w:rPr>
          <w:lang w:val="en-GB"/>
        </w:rPr>
        <w:t xml:space="preserve">In this example the Settlement Infrastructure Platform sends a Settlement Instruction Current Status Query Response containing one instruction matching the query criteria </w:t>
      </w:r>
      <w:r>
        <w:rPr>
          <w:lang w:val="en-GB"/>
        </w:rPr>
        <w:t xml:space="preserve">which </w:t>
      </w:r>
      <w:r w:rsidRPr="00496E01">
        <w:rPr>
          <w:lang w:val="en-GB"/>
        </w:rPr>
        <w:t xml:space="preserve">querying all pending settlement instructions </w:t>
      </w:r>
      <w:r w:rsidR="000A48D8">
        <w:rPr>
          <w:lang w:val="en-GB"/>
        </w:rPr>
        <w:t>a</w:t>
      </w:r>
      <w:r w:rsidRPr="00496E01">
        <w:rPr>
          <w:lang w:val="en-GB"/>
        </w:rPr>
        <w:t>waiting a gating event on business date 05-05-2026 where the securities account is ‘1000000123’.</w:t>
      </w:r>
    </w:p>
    <w:p w14:paraId="3451EFB4" w14:textId="77777777" w:rsidR="00810075" w:rsidRDefault="00810075" w:rsidP="00496E01">
      <w:pPr>
        <w:jc w:val="both"/>
        <w:rPr>
          <w:lang w:val="en-GB"/>
        </w:rPr>
      </w:pPr>
    </w:p>
    <w:p w14:paraId="21B45784" w14:textId="170B0AEB" w:rsidR="00810075" w:rsidRDefault="00106012" w:rsidP="00496E01">
      <w:pPr>
        <w:jc w:val="both"/>
        <w:rPr>
          <w:lang w:val="en-GB"/>
        </w:rPr>
      </w:pPr>
      <w:r w:rsidRPr="009662EA">
        <w:rPr>
          <w:noProof/>
        </w:rPr>
        <w:lastRenderedPageBreak/>
        <w:drawing>
          <wp:inline distT="0" distB="0" distL="0" distR="0" wp14:anchorId="1DAE8A74" wp14:editId="6E549531">
            <wp:extent cx="5700666" cy="8488507"/>
            <wp:effectExtent l="19050" t="19050" r="14605" b="27305"/>
            <wp:docPr id="5993495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49549" name=""/>
                    <pic:cNvPicPr/>
                  </pic:nvPicPr>
                  <pic:blipFill>
                    <a:blip r:embed="rId14"/>
                    <a:stretch>
                      <a:fillRect/>
                    </a:stretch>
                  </pic:blipFill>
                  <pic:spPr>
                    <a:xfrm>
                      <a:off x="0" y="0"/>
                      <a:ext cx="5705880" cy="8496270"/>
                    </a:xfrm>
                    <a:prstGeom prst="rect">
                      <a:avLst/>
                    </a:prstGeom>
                    <a:ln w="15875">
                      <a:solidFill>
                        <a:schemeClr val="tx1"/>
                      </a:solidFill>
                    </a:ln>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3D98E60"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0A5BD7">
              <w:rPr>
                <w:b/>
                <w:szCs w:val="24"/>
                <w:lang w:val="en-GB"/>
              </w:rPr>
              <w:t>6</w:t>
            </w:r>
            <w:r>
              <w:rPr>
                <w:b/>
                <w:szCs w:val="24"/>
                <w:lang w:val="en-GB"/>
              </w:rPr>
              <w:t>/20</w:t>
            </w:r>
            <w:r w:rsidR="00B43BED">
              <w:rPr>
                <w:b/>
                <w:szCs w:val="24"/>
                <w:lang w:val="en-GB"/>
              </w:rPr>
              <w:t>2</w:t>
            </w:r>
            <w:r w:rsidR="000A5BD7">
              <w:rPr>
                <w:b/>
                <w:szCs w:val="24"/>
                <w:lang w:val="en-GB"/>
              </w:rPr>
              <w:t>7</w:t>
            </w:r>
          </w:p>
          <w:p w14:paraId="0A1397DE" w14:textId="5E747361"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0A5BD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A5BD7">
              <w:rPr>
                <w:szCs w:val="24"/>
                <w:lang w:val="en-GB"/>
              </w:rPr>
              <w:t>7</w:t>
            </w:r>
            <w:r>
              <w:rPr>
                <w:szCs w:val="24"/>
                <w:lang w:val="en-GB"/>
              </w:rPr>
              <w:t>)</w:t>
            </w:r>
          </w:p>
        </w:tc>
        <w:tc>
          <w:tcPr>
            <w:tcW w:w="425" w:type="dxa"/>
            <w:tcBorders>
              <w:bottom w:val="single" w:sz="4" w:space="0" w:color="auto"/>
            </w:tcBorders>
          </w:tcPr>
          <w:p w14:paraId="2CB5DAEB" w14:textId="5C37C97F" w:rsidR="00130EB9" w:rsidRPr="000A5BD7" w:rsidRDefault="000A5BD7" w:rsidP="0025138E">
            <w:pPr>
              <w:spacing w:before="0"/>
              <w:jc w:val="both"/>
              <w:rPr>
                <w:szCs w:val="24"/>
                <w:lang w:val="en-GB"/>
              </w:rPr>
            </w:pPr>
            <w:r w:rsidRPr="000A5BD7">
              <w:rPr>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6945" w14:textId="77777777" w:rsidR="009B6408" w:rsidRDefault="009B6408">
      <w:r>
        <w:separator/>
      </w:r>
    </w:p>
  </w:endnote>
  <w:endnote w:type="continuationSeparator" w:id="0">
    <w:p w14:paraId="5D851BCB" w14:textId="77777777" w:rsidR="009B6408" w:rsidRDefault="009B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3E1" w14:textId="77777777" w:rsidR="005C7881" w:rsidRDefault="005C7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3598B3E" w:rsidR="00567F13" w:rsidRDefault="00B61259">
    <w:pPr>
      <w:pStyle w:val="Footer"/>
      <w:rPr>
        <w:rStyle w:val="PageNumber"/>
      </w:rPr>
    </w:pPr>
    <w:fldSimple w:instr=" FILENAME   \* MERGEFORMAT ">
      <w:r>
        <w:rPr>
          <w:noProof/>
        </w:rPr>
        <w:t>CR1588_SnR_GatingEvent_4CBs_v1.docx</w:t>
      </w:r>
    </w:fldSimple>
    <w:r w:rsidR="00567F13">
      <w:tab/>
      <w:t xml:space="preserve">Produced by </w:t>
    </w:r>
    <w:r w:rsidR="000A5BD7">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4E15" w14:textId="77777777" w:rsidR="005C7881" w:rsidRDefault="005C7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5715" w14:textId="77777777" w:rsidR="009B6408" w:rsidRDefault="009B6408">
      <w:r>
        <w:separator/>
      </w:r>
    </w:p>
  </w:footnote>
  <w:footnote w:type="continuationSeparator" w:id="0">
    <w:p w14:paraId="4DD0F951" w14:textId="77777777" w:rsidR="009B6408" w:rsidRDefault="009B6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A4B0" w14:textId="77777777" w:rsidR="005C7881" w:rsidRDefault="005C7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F59DD07" w:rsidR="00E74C04" w:rsidRPr="00801493" w:rsidRDefault="00801493">
    <w:pPr>
      <w:pStyle w:val="Header"/>
      <w:rPr>
        <w:lang w:val="fr-BE"/>
      </w:rPr>
    </w:pPr>
    <w:r>
      <w:rPr>
        <w:lang w:val="fr-BE"/>
      </w:rPr>
      <w:t xml:space="preserve">RA ID : </w:t>
    </w:r>
    <w:r w:rsidR="005C7881">
      <w:rPr>
        <w:lang w:val="fr-BE"/>
      </w:rPr>
      <w:t>CR1588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7FD4" w14:textId="77777777" w:rsidR="005C7881" w:rsidRDefault="005C7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174D0C"/>
    <w:multiLevelType w:val="hybridMultilevel"/>
    <w:tmpl w:val="2BF251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B71C75"/>
    <w:multiLevelType w:val="hybridMultilevel"/>
    <w:tmpl w:val="88FEE33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74371"/>
    <w:multiLevelType w:val="hybridMultilevel"/>
    <w:tmpl w:val="5FE434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E456A3"/>
    <w:multiLevelType w:val="hybridMultilevel"/>
    <w:tmpl w:val="ADDA0B7C"/>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64030"/>
    <w:multiLevelType w:val="hybridMultilevel"/>
    <w:tmpl w:val="88CC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54B4"/>
    <w:multiLevelType w:val="hybridMultilevel"/>
    <w:tmpl w:val="A75867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51111D0"/>
    <w:multiLevelType w:val="hybridMultilevel"/>
    <w:tmpl w:val="88FEE3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F2039"/>
    <w:multiLevelType w:val="hybridMultilevel"/>
    <w:tmpl w:val="9EE41C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66256"/>
    <w:multiLevelType w:val="hybridMultilevel"/>
    <w:tmpl w:val="6FF43C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5B59EC"/>
    <w:multiLevelType w:val="multilevel"/>
    <w:tmpl w:val="E796FE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440532"/>
    <w:multiLevelType w:val="hybridMultilevel"/>
    <w:tmpl w:val="E2A453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4D06C5"/>
    <w:multiLevelType w:val="hybridMultilevel"/>
    <w:tmpl w:val="D654F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00791"/>
    <w:multiLevelType w:val="hybridMultilevel"/>
    <w:tmpl w:val="FA0E9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7"/>
  </w:num>
  <w:num w:numId="6" w16cid:durableId="1944336248">
    <w:abstractNumId w:val="11"/>
  </w:num>
  <w:num w:numId="7" w16cid:durableId="728386006">
    <w:abstractNumId w:val="16"/>
  </w:num>
  <w:num w:numId="8" w16cid:durableId="1187863317">
    <w:abstractNumId w:val="12"/>
  </w:num>
  <w:num w:numId="9" w16cid:durableId="1549537704">
    <w:abstractNumId w:val="26"/>
  </w:num>
  <w:num w:numId="10" w16cid:durableId="2044745797">
    <w:abstractNumId w:val="6"/>
  </w:num>
  <w:num w:numId="11" w16cid:durableId="170728363">
    <w:abstractNumId w:val="8"/>
  </w:num>
  <w:num w:numId="12" w16cid:durableId="1179153660">
    <w:abstractNumId w:val="13"/>
  </w:num>
  <w:num w:numId="13" w16cid:durableId="800684503">
    <w:abstractNumId w:val="4"/>
  </w:num>
  <w:num w:numId="14" w16cid:durableId="206526256">
    <w:abstractNumId w:val="7"/>
  </w:num>
  <w:num w:numId="15" w16cid:durableId="1886671329">
    <w:abstractNumId w:val="20"/>
  </w:num>
  <w:num w:numId="16" w16cid:durableId="222108804">
    <w:abstractNumId w:val="19"/>
  </w:num>
  <w:num w:numId="17" w16cid:durableId="871921463">
    <w:abstractNumId w:val="24"/>
  </w:num>
  <w:num w:numId="18" w16cid:durableId="380447707">
    <w:abstractNumId w:val="14"/>
  </w:num>
  <w:num w:numId="19" w16cid:durableId="212617722">
    <w:abstractNumId w:val="17"/>
  </w:num>
  <w:num w:numId="20" w16cid:durableId="1825394683">
    <w:abstractNumId w:val="9"/>
  </w:num>
  <w:num w:numId="21" w16cid:durableId="2126995661">
    <w:abstractNumId w:val="25"/>
  </w:num>
  <w:num w:numId="22" w16cid:durableId="151339353">
    <w:abstractNumId w:val="21"/>
  </w:num>
  <w:num w:numId="23" w16cid:durableId="570163557">
    <w:abstractNumId w:val="10"/>
  </w:num>
  <w:num w:numId="24" w16cid:durableId="1072117851">
    <w:abstractNumId w:val="22"/>
  </w:num>
  <w:num w:numId="25" w16cid:durableId="1055157714">
    <w:abstractNumId w:val="23"/>
  </w:num>
  <w:num w:numId="26" w16cid:durableId="1938514163">
    <w:abstractNumId w:val="5"/>
  </w:num>
  <w:num w:numId="27" w16cid:durableId="1107847636">
    <w:abstractNumId w:val="18"/>
  </w:num>
  <w:num w:numId="28" w16cid:durableId="1814712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BAA"/>
    <w:rsid w:val="00004B12"/>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A29F6"/>
    <w:rsid w:val="000A48D8"/>
    <w:rsid w:val="000A5BD7"/>
    <w:rsid w:val="000B65C7"/>
    <w:rsid w:val="000C015D"/>
    <w:rsid w:val="000D15F6"/>
    <w:rsid w:val="000D5D39"/>
    <w:rsid w:val="000E2471"/>
    <w:rsid w:val="000E7941"/>
    <w:rsid w:val="000F3C8B"/>
    <w:rsid w:val="000F43E3"/>
    <w:rsid w:val="00100FEE"/>
    <w:rsid w:val="00101212"/>
    <w:rsid w:val="00101D5F"/>
    <w:rsid w:val="00103124"/>
    <w:rsid w:val="00105754"/>
    <w:rsid w:val="00106012"/>
    <w:rsid w:val="0012701C"/>
    <w:rsid w:val="00130EB9"/>
    <w:rsid w:val="00134502"/>
    <w:rsid w:val="0014379C"/>
    <w:rsid w:val="00153ED1"/>
    <w:rsid w:val="00163DB3"/>
    <w:rsid w:val="001711D3"/>
    <w:rsid w:val="001807C9"/>
    <w:rsid w:val="00185453"/>
    <w:rsid w:val="00185E8E"/>
    <w:rsid w:val="00193E8A"/>
    <w:rsid w:val="001A2394"/>
    <w:rsid w:val="001B1858"/>
    <w:rsid w:val="001C2F98"/>
    <w:rsid w:val="001D0D1B"/>
    <w:rsid w:val="001D176B"/>
    <w:rsid w:val="001D20B3"/>
    <w:rsid w:val="001E287E"/>
    <w:rsid w:val="001E2B1C"/>
    <w:rsid w:val="001E3BCF"/>
    <w:rsid w:val="00217122"/>
    <w:rsid w:val="00217AE9"/>
    <w:rsid w:val="00225AA9"/>
    <w:rsid w:val="00230574"/>
    <w:rsid w:val="00230E14"/>
    <w:rsid w:val="00231CFF"/>
    <w:rsid w:val="00246B40"/>
    <w:rsid w:val="002472D9"/>
    <w:rsid w:val="002509A2"/>
    <w:rsid w:val="0025138E"/>
    <w:rsid w:val="002521C9"/>
    <w:rsid w:val="002711E6"/>
    <w:rsid w:val="002904C8"/>
    <w:rsid w:val="002B0567"/>
    <w:rsid w:val="002D0906"/>
    <w:rsid w:val="002D549A"/>
    <w:rsid w:val="002E014D"/>
    <w:rsid w:val="002E27A9"/>
    <w:rsid w:val="002F0B30"/>
    <w:rsid w:val="002F25BF"/>
    <w:rsid w:val="003006F2"/>
    <w:rsid w:val="003014E7"/>
    <w:rsid w:val="00303E94"/>
    <w:rsid w:val="00304151"/>
    <w:rsid w:val="00316F04"/>
    <w:rsid w:val="00320A89"/>
    <w:rsid w:val="00324C6F"/>
    <w:rsid w:val="003253DD"/>
    <w:rsid w:val="00332E8F"/>
    <w:rsid w:val="00336209"/>
    <w:rsid w:val="00336ED6"/>
    <w:rsid w:val="00346539"/>
    <w:rsid w:val="00360300"/>
    <w:rsid w:val="00380928"/>
    <w:rsid w:val="00386B78"/>
    <w:rsid w:val="003A0671"/>
    <w:rsid w:val="003A1EBF"/>
    <w:rsid w:val="003A3D7D"/>
    <w:rsid w:val="003B261A"/>
    <w:rsid w:val="003B6B25"/>
    <w:rsid w:val="003C0213"/>
    <w:rsid w:val="003C0267"/>
    <w:rsid w:val="003C1AE6"/>
    <w:rsid w:val="003C36A1"/>
    <w:rsid w:val="003C3840"/>
    <w:rsid w:val="003C5C31"/>
    <w:rsid w:val="003D56E3"/>
    <w:rsid w:val="003D74BC"/>
    <w:rsid w:val="003E59BF"/>
    <w:rsid w:val="003E67E5"/>
    <w:rsid w:val="003F1C24"/>
    <w:rsid w:val="003F547E"/>
    <w:rsid w:val="003F57CE"/>
    <w:rsid w:val="003F6B05"/>
    <w:rsid w:val="00400B03"/>
    <w:rsid w:val="00401998"/>
    <w:rsid w:val="00427966"/>
    <w:rsid w:val="0044313F"/>
    <w:rsid w:val="00445D10"/>
    <w:rsid w:val="00446B25"/>
    <w:rsid w:val="004475F9"/>
    <w:rsid w:val="0045022C"/>
    <w:rsid w:val="00451986"/>
    <w:rsid w:val="00462051"/>
    <w:rsid w:val="00465900"/>
    <w:rsid w:val="00473145"/>
    <w:rsid w:val="0048334D"/>
    <w:rsid w:val="00485472"/>
    <w:rsid w:val="00496E01"/>
    <w:rsid w:val="004A02CE"/>
    <w:rsid w:val="004A168F"/>
    <w:rsid w:val="004A31AA"/>
    <w:rsid w:val="004B09F6"/>
    <w:rsid w:val="004B5A22"/>
    <w:rsid w:val="004D0B29"/>
    <w:rsid w:val="004E1F21"/>
    <w:rsid w:val="004F0578"/>
    <w:rsid w:val="004F0934"/>
    <w:rsid w:val="004F61D5"/>
    <w:rsid w:val="0050171A"/>
    <w:rsid w:val="00512DB7"/>
    <w:rsid w:val="0052302E"/>
    <w:rsid w:val="005246BE"/>
    <w:rsid w:val="005379ED"/>
    <w:rsid w:val="005411C7"/>
    <w:rsid w:val="00555709"/>
    <w:rsid w:val="00563FFF"/>
    <w:rsid w:val="005677B8"/>
    <w:rsid w:val="00567F13"/>
    <w:rsid w:val="00573C83"/>
    <w:rsid w:val="00577861"/>
    <w:rsid w:val="00577BCC"/>
    <w:rsid w:val="005810CA"/>
    <w:rsid w:val="0058193F"/>
    <w:rsid w:val="00581FBB"/>
    <w:rsid w:val="00582DF5"/>
    <w:rsid w:val="00594A5F"/>
    <w:rsid w:val="005960E2"/>
    <w:rsid w:val="00596453"/>
    <w:rsid w:val="005A1AA5"/>
    <w:rsid w:val="005A502F"/>
    <w:rsid w:val="005A7F37"/>
    <w:rsid w:val="005B4CAC"/>
    <w:rsid w:val="005B602E"/>
    <w:rsid w:val="005C4C5F"/>
    <w:rsid w:val="005C7881"/>
    <w:rsid w:val="005D06FE"/>
    <w:rsid w:val="005E1210"/>
    <w:rsid w:val="005E3784"/>
    <w:rsid w:val="005E4352"/>
    <w:rsid w:val="005E46E4"/>
    <w:rsid w:val="005F05DB"/>
    <w:rsid w:val="005F2E6B"/>
    <w:rsid w:val="006029B9"/>
    <w:rsid w:val="006043A9"/>
    <w:rsid w:val="00610B1B"/>
    <w:rsid w:val="00610F9A"/>
    <w:rsid w:val="006115CF"/>
    <w:rsid w:val="006316E5"/>
    <w:rsid w:val="00631A43"/>
    <w:rsid w:val="0063312E"/>
    <w:rsid w:val="00633B0A"/>
    <w:rsid w:val="00660BEF"/>
    <w:rsid w:val="006643DC"/>
    <w:rsid w:val="006A02BC"/>
    <w:rsid w:val="006A7B96"/>
    <w:rsid w:val="006B20DC"/>
    <w:rsid w:val="006D4A37"/>
    <w:rsid w:val="006E2522"/>
    <w:rsid w:val="006E3DEC"/>
    <w:rsid w:val="00700648"/>
    <w:rsid w:val="00706604"/>
    <w:rsid w:val="007118C4"/>
    <w:rsid w:val="00723DE0"/>
    <w:rsid w:val="00732595"/>
    <w:rsid w:val="007430BD"/>
    <w:rsid w:val="0074349F"/>
    <w:rsid w:val="0075466C"/>
    <w:rsid w:val="00761645"/>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075"/>
    <w:rsid w:val="0081068B"/>
    <w:rsid w:val="00811DCF"/>
    <w:rsid w:val="00812324"/>
    <w:rsid w:val="00814D4C"/>
    <w:rsid w:val="00820591"/>
    <w:rsid w:val="008265E8"/>
    <w:rsid w:val="008270CD"/>
    <w:rsid w:val="008270DF"/>
    <w:rsid w:val="00831BDD"/>
    <w:rsid w:val="0084123C"/>
    <w:rsid w:val="008438AF"/>
    <w:rsid w:val="00843FE8"/>
    <w:rsid w:val="00854FA6"/>
    <w:rsid w:val="0085530C"/>
    <w:rsid w:val="00861DA2"/>
    <w:rsid w:val="00862724"/>
    <w:rsid w:val="0086406A"/>
    <w:rsid w:val="008656A6"/>
    <w:rsid w:val="00865C2F"/>
    <w:rsid w:val="0086676E"/>
    <w:rsid w:val="00873B38"/>
    <w:rsid w:val="00875210"/>
    <w:rsid w:val="008832E2"/>
    <w:rsid w:val="008869D6"/>
    <w:rsid w:val="00887436"/>
    <w:rsid w:val="0089685B"/>
    <w:rsid w:val="008A7F65"/>
    <w:rsid w:val="008E2B65"/>
    <w:rsid w:val="008E35CF"/>
    <w:rsid w:val="008E3F75"/>
    <w:rsid w:val="008F5C90"/>
    <w:rsid w:val="00906C6A"/>
    <w:rsid w:val="00914273"/>
    <w:rsid w:val="00916A80"/>
    <w:rsid w:val="009279BF"/>
    <w:rsid w:val="00937D26"/>
    <w:rsid w:val="00951C86"/>
    <w:rsid w:val="00956D7A"/>
    <w:rsid w:val="00965199"/>
    <w:rsid w:val="00966046"/>
    <w:rsid w:val="0097518B"/>
    <w:rsid w:val="009770EE"/>
    <w:rsid w:val="00984219"/>
    <w:rsid w:val="009B6408"/>
    <w:rsid w:val="009C0615"/>
    <w:rsid w:val="009C1445"/>
    <w:rsid w:val="00A10221"/>
    <w:rsid w:val="00A21B8D"/>
    <w:rsid w:val="00A22F1A"/>
    <w:rsid w:val="00A25B84"/>
    <w:rsid w:val="00A32450"/>
    <w:rsid w:val="00A3435F"/>
    <w:rsid w:val="00A46877"/>
    <w:rsid w:val="00A47C6F"/>
    <w:rsid w:val="00A5492F"/>
    <w:rsid w:val="00A60DC3"/>
    <w:rsid w:val="00A60E56"/>
    <w:rsid w:val="00A826E1"/>
    <w:rsid w:val="00A9056F"/>
    <w:rsid w:val="00A91F56"/>
    <w:rsid w:val="00AA5E76"/>
    <w:rsid w:val="00AD7CD5"/>
    <w:rsid w:val="00AE0A90"/>
    <w:rsid w:val="00AE4D14"/>
    <w:rsid w:val="00AF0827"/>
    <w:rsid w:val="00AF09E1"/>
    <w:rsid w:val="00AF294C"/>
    <w:rsid w:val="00AF2EBF"/>
    <w:rsid w:val="00B01132"/>
    <w:rsid w:val="00B030A6"/>
    <w:rsid w:val="00B06CA8"/>
    <w:rsid w:val="00B21761"/>
    <w:rsid w:val="00B21FA3"/>
    <w:rsid w:val="00B307A7"/>
    <w:rsid w:val="00B30D86"/>
    <w:rsid w:val="00B32D84"/>
    <w:rsid w:val="00B338DD"/>
    <w:rsid w:val="00B43BED"/>
    <w:rsid w:val="00B44DEE"/>
    <w:rsid w:val="00B45490"/>
    <w:rsid w:val="00B5520C"/>
    <w:rsid w:val="00B61259"/>
    <w:rsid w:val="00B65C66"/>
    <w:rsid w:val="00B662BE"/>
    <w:rsid w:val="00B70B84"/>
    <w:rsid w:val="00B74C6C"/>
    <w:rsid w:val="00B8336E"/>
    <w:rsid w:val="00B865DB"/>
    <w:rsid w:val="00B921E0"/>
    <w:rsid w:val="00BA1600"/>
    <w:rsid w:val="00BA611B"/>
    <w:rsid w:val="00BB7F97"/>
    <w:rsid w:val="00BC4D68"/>
    <w:rsid w:val="00BD6786"/>
    <w:rsid w:val="00BE00BA"/>
    <w:rsid w:val="00BF374F"/>
    <w:rsid w:val="00BF6B2F"/>
    <w:rsid w:val="00C06496"/>
    <w:rsid w:val="00C122AE"/>
    <w:rsid w:val="00C146F3"/>
    <w:rsid w:val="00C17665"/>
    <w:rsid w:val="00C27BAA"/>
    <w:rsid w:val="00C32DF8"/>
    <w:rsid w:val="00C3521F"/>
    <w:rsid w:val="00C40729"/>
    <w:rsid w:val="00C41DDB"/>
    <w:rsid w:val="00C46C5A"/>
    <w:rsid w:val="00C50466"/>
    <w:rsid w:val="00C52ABE"/>
    <w:rsid w:val="00C656B1"/>
    <w:rsid w:val="00C7056E"/>
    <w:rsid w:val="00C9213C"/>
    <w:rsid w:val="00CA304B"/>
    <w:rsid w:val="00CB683A"/>
    <w:rsid w:val="00CB7C2C"/>
    <w:rsid w:val="00CC062F"/>
    <w:rsid w:val="00CC0D0E"/>
    <w:rsid w:val="00CC1768"/>
    <w:rsid w:val="00CC68E1"/>
    <w:rsid w:val="00CD0745"/>
    <w:rsid w:val="00CD363B"/>
    <w:rsid w:val="00CD3C90"/>
    <w:rsid w:val="00CD59B1"/>
    <w:rsid w:val="00CD7956"/>
    <w:rsid w:val="00CF098A"/>
    <w:rsid w:val="00CF0E1A"/>
    <w:rsid w:val="00CF3041"/>
    <w:rsid w:val="00D03827"/>
    <w:rsid w:val="00D123C1"/>
    <w:rsid w:val="00D234FD"/>
    <w:rsid w:val="00D2600B"/>
    <w:rsid w:val="00D2704B"/>
    <w:rsid w:val="00D274AC"/>
    <w:rsid w:val="00D51B61"/>
    <w:rsid w:val="00D55A79"/>
    <w:rsid w:val="00D56571"/>
    <w:rsid w:val="00D67DE0"/>
    <w:rsid w:val="00D73E09"/>
    <w:rsid w:val="00D74F66"/>
    <w:rsid w:val="00D82FBD"/>
    <w:rsid w:val="00D9338F"/>
    <w:rsid w:val="00D93704"/>
    <w:rsid w:val="00D9582C"/>
    <w:rsid w:val="00DA043A"/>
    <w:rsid w:val="00DA116C"/>
    <w:rsid w:val="00DA22C9"/>
    <w:rsid w:val="00DB419A"/>
    <w:rsid w:val="00DC195F"/>
    <w:rsid w:val="00DC68D5"/>
    <w:rsid w:val="00DD37B4"/>
    <w:rsid w:val="00DD422D"/>
    <w:rsid w:val="00E11D29"/>
    <w:rsid w:val="00E1588B"/>
    <w:rsid w:val="00E20913"/>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040D"/>
    <w:rsid w:val="00ED1FC8"/>
    <w:rsid w:val="00ED43BB"/>
    <w:rsid w:val="00EE43B0"/>
    <w:rsid w:val="00EF1E93"/>
    <w:rsid w:val="00EF3F75"/>
    <w:rsid w:val="00EF6661"/>
    <w:rsid w:val="00EF66E7"/>
    <w:rsid w:val="00F03A42"/>
    <w:rsid w:val="00F23416"/>
    <w:rsid w:val="00F23DF6"/>
    <w:rsid w:val="00F25441"/>
    <w:rsid w:val="00F260BE"/>
    <w:rsid w:val="00F30F35"/>
    <w:rsid w:val="00F33643"/>
    <w:rsid w:val="00F34C66"/>
    <w:rsid w:val="00F364F8"/>
    <w:rsid w:val="00F3743B"/>
    <w:rsid w:val="00F50490"/>
    <w:rsid w:val="00F521A4"/>
    <w:rsid w:val="00F52C18"/>
    <w:rsid w:val="00F56866"/>
    <w:rsid w:val="00F62A6F"/>
    <w:rsid w:val="00F6410E"/>
    <w:rsid w:val="00F74EB6"/>
    <w:rsid w:val="00F8432C"/>
    <w:rsid w:val="00F91D83"/>
    <w:rsid w:val="00F91F93"/>
    <w:rsid w:val="00F929C6"/>
    <w:rsid w:val="00F93A64"/>
    <w:rsid w:val="00F94A2A"/>
    <w:rsid w:val="00FA112C"/>
    <w:rsid w:val="00FB56E2"/>
    <w:rsid w:val="00FC25E2"/>
    <w:rsid w:val="00FC5011"/>
    <w:rsid w:val="00FD0B96"/>
    <w:rsid w:val="00FD54A5"/>
    <w:rsid w:val="00FD58BE"/>
    <w:rsid w:val="00FE6405"/>
    <w:rsid w:val="00FF081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F23DF6"/>
    <w:rPr>
      <w:color w:val="605E5C"/>
      <w:shd w:val="clear" w:color="auto" w:fill="E1DFDD"/>
    </w:rPr>
  </w:style>
  <w:style w:type="paragraph" w:styleId="Revision">
    <w:name w:val="Revision"/>
    <w:hidden/>
    <w:uiPriority w:val="99"/>
    <w:semiHidden/>
    <w:rsid w:val="00FF0817"/>
    <w:rPr>
      <w:rFonts w:ascii="Times New Roman" w:hAnsi="Times New Roman"/>
      <w:sz w:val="24"/>
    </w:rPr>
  </w:style>
  <w:style w:type="paragraph" w:styleId="ListParagraph">
    <w:name w:val="List Paragraph"/>
    <w:basedOn w:val="Normal"/>
    <w:uiPriority w:val="34"/>
    <w:qFormat/>
    <w:rsid w:val="003A0671"/>
    <w:pPr>
      <w:suppressAutoHyphens/>
      <w:spacing w:before="120"/>
      <w:ind w:left="720"/>
      <w:contextualSpacing/>
    </w:pPr>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8698">
      <w:bodyDiv w:val="1"/>
      <w:marLeft w:val="0"/>
      <w:marRight w:val="0"/>
      <w:marTop w:val="0"/>
      <w:marBottom w:val="0"/>
      <w:divBdr>
        <w:top w:val="none" w:sz="0" w:space="0" w:color="auto"/>
        <w:left w:val="none" w:sz="0" w:space="0" w:color="auto"/>
        <w:bottom w:val="none" w:sz="0" w:space="0" w:color="auto"/>
        <w:right w:val="none" w:sz="0" w:space="0" w:color="auto"/>
      </w:divBdr>
    </w:div>
    <w:div w:id="747770269">
      <w:bodyDiv w:val="1"/>
      <w:marLeft w:val="0"/>
      <w:marRight w:val="0"/>
      <w:marTop w:val="0"/>
      <w:marBottom w:val="0"/>
      <w:divBdr>
        <w:top w:val="none" w:sz="0" w:space="0" w:color="auto"/>
        <w:left w:val="none" w:sz="0" w:space="0" w:color="auto"/>
        <w:bottom w:val="none" w:sz="0" w:space="0" w:color="auto"/>
        <w:right w:val="none" w:sz="0" w:space="0" w:color="auto"/>
      </w:divBdr>
    </w:div>
    <w:div w:id="923681631">
      <w:bodyDiv w:val="1"/>
      <w:marLeft w:val="0"/>
      <w:marRight w:val="0"/>
      <w:marTop w:val="0"/>
      <w:marBottom w:val="0"/>
      <w:divBdr>
        <w:top w:val="none" w:sz="0" w:space="0" w:color="auto"/>
        <w:left w:val="none" w:sz="0" w:space="0" w:color="auto"/>
        <w:bottom w:val="none" w:sz="0" w:space="0" w:color="auto"/>
        <w:right w:val="none" w:sz="0" w:space="0" w:color="auto"/>
      </w:divBdr>
    </w:div>
    <w:div w:id="1572540589">
      <w:bodyDiv w:val="1"/>
      <w:marLeft w:val="0"/>
      <w:marRight w:val="0"/>
      <w:marTop w:val="0"/>
      <w:marBottom w:val="0"/>
      <w:divBdr>
        <w:top w:val="none" w:sz="0" w:space="0" w:color="auto"/>
        <w:left w:val="none" w:sz="0" w:space="0" w:color="auto"/>
        <w:bottom w:val="none" w:sz="0" w:space="0" w:color="auto"/>
        <w:right w:val="none" w:sz="0" w:space="0" w:color="auto"/>
      </w:divBdr>
    </w:div>
    <w:div w:id="1837957907">
      <w:bodyDiv w:val="1"/>
      <w:marLeft w:val="0"/>
      <w:marRight w:val="0"/>
      <w:marTop w:val="0"/>
      <w:marBottom w:val="0"/>
      <w:divBdr>
        <w:top w:val="none" w:sz="0" w:space="0" w:color="auto"/>
        <w:left w:val="none" w:sz="0" w:space="0" w:color="auto"/>
        <w:bottom w:val="none" w:sz="0" w:space="0" w:color="auto"/>
        <w:right w:val="none" w:sz="0" w:space="0" w:color="auto"/>
      </w:divBdr>
    </w:div>
    <w:div w:id="19187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2s-fam@bundesbank.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ns.JRAIED.external@banque-france.f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1558</Words>
  <Characters>9898</Characters>
  <Application>Microsoft Office Word</Application>
  <DocSecurity>0</DocSecurity>
  <Lines>366</Lines>
  <Paragraphs>243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11213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4CB</dc:creator>
  <cp:keywords/>
  <cp:lastModifiedBy>STEENO Aurelie</cp:lastModifiedBy>
  <cp:revision>4</cp:revision>
  <cp:lastPrinted>2009-03-10T11:18:00Z</cp:lastPrinted>
  <dcterms:created xsi:type="dcterms:W3CDTF">2026-06-01T17:30:00Z</dcterms:created>
  <dcterms:modified xsi:type="dcterms:W3CDTF">2026-06-01T17:31:00Z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9d4caeef-21ee-4ca7-84b8-6f5702ffdbc6_Enabled">
    <vt:lpwstr>true</vt:lpwstr>
  </property>
  <property fmtid="{D5CDD505-2E9C-101B-9397-08002B2CF9AE}" pid="10" name="MSIP_Label_9d4caeef-21ee-4ca7-84b8-6f5702ffdbc6_SetDate">
    <vt:lpwstr>2026-04-28T15:25:52Z</vt:lpwstr>
  </property>
  <property fmtid="{D5CDD505-2E9C-101B-9397-08002B2CF9AE}" pid="11" name="MSIP_Label_9d4caeef-21ee-4ca7-84b8-6f5702ffdbc6_Method">
    <vt:lpwstr>Privileged</vt:lpwstr>
  </property>
  <property fmtid="{D5CDD505-2E9C-101B-9397-08002B2CF9AE}" pid="12" name="MSIP_Label_9d4caeef-21ee-4ca7-84b8-6f5702ffdbc6_Name">
    <vt:lpwstr>BDF-INTERNE-Sans-Marquage</vt:lpwstr>
  </property>
  <property fmtid="{D5CDD505-2E9C-101B-9397-08002B2CF9AE}" pid="13" name="MSIP_Label_9d4caeef-21ee-4ca7-84b8-6f5702ffdbc6_SiteId">
    <vt:lpwstr>e6599448-62a0-418e-8930-d00d8d5682c2</vt:lpwstr>
  </property>
  <property fmtid="{D5CDD505-2E9C-101B-9397-08002B2CF9AE}" pid="14" name="MSIP_Label_9d4caeef-21ee-4ca7-84b8-6f5702ffdbc6_ActionId">
    <vt:lpwstr>4085587f-db57-465a-b852-0c073ec566a6</vt:lpwstr>
  </property>
  <property fmtid="{D5CDD505-2E9C-101B-9397-08002B2CF9AE}" pid="15" name="MSIP_Label_9d4caeef-21ee-4ca7-84b8-6f5702ffdbc6_ContentBits">
    <vt:lpwstr>0</vt:lpwstr>
  </property>
  <property fmtid="{D5CDD505-2E9C-101B-9397-08002B2CF9AE}" pid="16" name="MSIP_Label_9d4caeef-21ee-4ca7-84b8-6f5702ffdbc6_Tag">
    <vt:lpwstr>10, 0, 1, 1</vt:lpwstr>
  </property>
</Properties>
</file>