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A535D38" w14:textId="77777777" w:rsidR="00812C4D" w:rsidRDefault="00812C4D"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70F72C9" w14:textId="77777777" w:rsidR="003D5317" w:rsidRDefault="008438AF" w:rsidP="003D5317">
      <w:pPr>
        <w:rPr>
          <w:lang w:val="en-GB"/>
        </w:rPr>
      </w:pPr>
      <w:r w:rsidRPr="008438AF">
        <w:rPr>
          <w:i/>
          <w:szCs w:val="24"/>
          <w:lang w:val="en-GB"/>
        </w:rPr>
        <w:t>A.1 Submitter</w:t>
      </w:r>
      <w:r>
        <w:rPr>
          <w:szCs w:val="24"/>
          <w:lang w:val="en-GB"/>
        </w:rPr>
        <w:t xml:space="preserve">: </w:t>
      </w:r>
      <w:r w:rsidR="003D5317" w:rsidRPr="008B6485">
        <w:rPr>
          <w:szCs w:val="24"/>
          <w:lang w:val="en-GB"/>
        </w:rPr>
        <w:t xml:space="preserve">ASX – </w:t>
      </w:r>
      <w:r w:rsidR="003D5317" w:rsidRPr="00781C0D">
        <w:rPr>
          <w:lang w:val="en-GB"/>
        </w:rPr>
        <w:t>CHESS (Clearing House Electronic Subregister System)</w:t>
      </w:r>
    </w:p>
    <w:p w14:paraId="16B349E9" w14:textId="77777777" w:rsidR="003D5317" w:rsidRPr="008B6485" w:rsidRDefault="003D5317" w:rsidP="003D5317">
      <w:pPr>
        <w:spacing w:before="0"/>
        <w:rPr>
          <w:szCs w:val="24"/>
          <w:lang w:val="en-GB"/>
        </w:rPr>
      </w:pPr>
      <w:r w:rsidRPr="008B6485">
        <w:rPr>
          <w:szCs w:val="24"/>
          <w:lang w:val="en-GB"/>
        </w:rPr>
        <w:t>Australian Securities Exchange (ASX)</w:t>
      </w:r>
    </w:p>
    <w:p w14:paraId="77272EA8" w14:textId="77777777" w:rsidR="003D5317" w:rsidRPr="008B6485" w:rsidRDefault="003D5317" w:rsidP="003D5317">
      <w:pPr>
        <w:spacing w:before="0"/>
        <w:rPr>
          <w:szCs w:val="24"/>
          <w:lang w:val="en-GB"/>
        </w:rPr>
      </w:pPr>
      <w:r>
        <w:rPr>
          <w:szCs w:val="24"/>
          <w:lang w:val="en-GB"/>
        </w:rPr>
        <w:t>39 Martin Place</w:t>
      </w:r>
    </w:p>
    <w:p w14:paraId="22231F41" w14:textId="55EAD214" w:rsidR="000408BA" w:rsidRDefault="003D5317" w:rsidP="003D5317">
      <w:pPr>
        <w:spacing w:before="0"/>
        <w:rPr>
          <w:szCs w:val="24"/>
          <w:lang w:val="en-GB"/>
        </w:rPr>
      </w:pPr>
      <w:r w:rsidRPr="008B6485">
        <w:rPr>
          <w:szCs w:val="24"/>
          <w:lang w:val="en-GB"/>
        </w:rPr>
        <w:t>Sydney NSW 2000</w:t>
      </w:r>
    </w:p>
    <w:p w14:paraId="3872C480" w14:textId="74DE84EC"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0F09EC34" w14:textId="77777777" w:rsidR="003D5317" w:rsidRDefault="003D5317" w:rsidP="003D5317">
      <w:pPr>
        <w:rPr>
          <w:szCs w:val="24"/>
          <w:lang w:val="en-GB"/>
        </w:rPr>
      </w:pPr>
      <w:r>
        <w:rPr>
          <w:szCs w:val="24"/>
          <w:lang w:val="en-GB"/>
        </w:rPr>
        <w:t xml:space="preserve">Priscilla Ferri de Barros </w:t>
      </w:r>
    </w:p>
    <w:p w14:paraId="75596DF3" w14:textId="0C624FAA" w:rsidR="003D5317" w:rsidRDefault="003D5317" w:rsidP="003D5317">
      <w:pPr>
        <w:rPr>
          <w:szCs w:val="24"/>
          <w:lang w:val="en-GB"/>
        </w:rPr>
      </w:pPr>
      <w:hyperlink r:id="rId14" w:history="1">
        <w:r w:rsidRPr="00B52100">
          <w:rPr>
            <w:rStyle w:val="Hyperlink"/>
            <w:szCs w:val="24"/>
            <w:lang w:val="en-GB"/>
          </w:rPr>
          <w:t>priscilla.ferridebarros@asx.com.au</w:t>
        </w:r>
      </w:hyperlink>
    </w:p>
    <w:p w14:paraId="02DC0B20" w14:textId="77777777" w:rsidR="003D5317" w:rsidRDefault="003D5317" w:rsidP="003D5317">
      <w:pPr>
        <w:rPr>
          <w:szCs w:val="24"/>
          <w:lang w:val="en-GB"/>
        </w:rPr>
      </w:pPr>
      <w:r>
        <w:rPr>
          <w:szCs w:val="24"/>
          <w:lang w:val="en-GB"/>
        </w:rPr>
        <w:t xml:space="preserve">+ 61 </w:t>
      </w:r>
      <w:r w:rsidRPr="00A10FB7">
        <w:rPr>
          <w:szCs w:val="24"/>
          <w:lang w:val="en-GB"/>
        </w:rPr>
        <w:t>(02) 9227 0543</w:t>
      </w:r>
    </w:p>
    <w:p w14:paraId="3E74943D" w14:textId="46D0DEE6" w:rsidR="003D5317" w:rsidRDefault="003D5317" w:rsidP="003D5317">
      <w:pPr>
        <w:rPr>
          <w:szCs w:val="24"/>
          <w:lang w:val="en-GB"/>
        </w:rPr>
      </w:pPr>
      <w:r>
        <w:rPr>
          <w:szCs w:val="24"/>
          <w:lang w:val="en-GB"/>
        </w:rPr>
        <w:t>And Sigrid Wiley (</w:t>
      </w:r>
      <w:hyperlink r:id="rId15" w:history="1">
        <w:r w:rsidRPr="00B52100">
          <w:rPr>
            <w:rStyle w:val="Hyperlink"/>
            <w:szCs w:val="24"/>
            <w:lang w:val="en-GB"/>
          </w:rPr>
          <w:t>Sigrid.wiley@asx.com.au</w:t>
        </w:r>
      </w:hyperlink>
      <w:r>
        <w:rPr>
          <w:szCs w:val="24"/>
          <w:lang w:val="en-GB"/>
        </w:rPr>
        <w:t xml:space="preserve">) </w:t>
      </w:r>
    </w:p>
    <w:p w14:paraId="67467D52" w14:textId="045ADDB0" w:rsidR="003D5317" w:rsidRDefault="003D5317" w:rsidP="003D5317">
      <w:pPr>
        <w:rPr>
          <w:szCs w:val="24"/>
          <w:lang w:val="en-GB"/>
        </w:rPr>
      </w:pPr>
      <w:r>
        <w:rPr>
          <w:szCs w:val="24"/>
          <w:lang w:val="en-GB"/>
        </w:rPr>
        <w:t>+ 1(503) 568-5717</w:t>
      </w:r>
    </w:p>
    <w:p w14:paraId="25E92BB5" w14:textId="31049E49" w:rsidR="00577BCC" w:rsidRDefault="00577BCC"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623E8783" w:rsidR="00854FA6" w:rsidRDefault="00812C4D" w:rsidP="00854FA6">
      <w:pPr>
        <w:rPr>
          <w:lang w:val="en-AU"/>
        </w:rPr>
      </w:pPr>
      <w:r w:rsidRPr="003D5317">
        <w:rPr>
          <w:lang w:val="en-AU"/>
        </w:rPr>
        <w:t>seev.033</w:t>
      </w:r>
      <w:r>
        <w:rPr>
          <w:lang w:val="en-AU"/>
        </w:rPr>
        <w:t xml:space="preserve"> - </w:t>
      </w:r>
      <w:r w:rsidR="003D5317" w:rsidRPr="003D5317">
        <w:rPr>
          <w:lang w:val="en-AU"/>
        </w:rPr>
        <w:t>Corporate Action Instruction</w:t>
      </w:r>
    </w:p>
    <w:p w14:paraId="5386C2F6" w14:textId="77777777" w:rsidR="00812C4D" w:rsidRPr="003D5317" w:rsidRDefault="00812C4D" w:rsidP="00854FA6">
      <w:pPr>
        <w:rPr>
          <w:lang w:val="en-AU"/>
        </w:rPr>
      </w:pPr>
    </w:p>
    <w:p w14:paraId="09EDAEAF" w14:textId="77777777" w:rsidR="00854FA6" w:rsidRDefault="006D4A37" w:rsidP="00854FA6">
      <w:pPr>
        <w:numPr>
          <w:ilvl w:val="0"/>
          <w:numId w:val="6"/>
        </w:numPr>
        <w:rPr>
          <w:lang w:val="en-GB"/>
        </w:rPr>
      </w:pPr>
      <w:r>
        <w:rPr>
          <w:b/>
          <w:lang w:val="en-GB"/>
        </w:rPr>
        <w:t>Description of the change request:</w:t>
      </w:r>
    </w:p>
    <w:p w14:paraId="6FD1806A" w14:textId="61DE0940" w:rsidR="003D5317" w:rsidRPr="003D5317" w:rsidRDefault="003D5317" w:rsidP="003D5317">
      <w:pPr>
        <w:rPr>
          <w:lang w:val="en-AU"/>
        </w:rPr>
      </w:pPr>
      <w:r w:rsidRPr="003D5317">
        <w:rPr>
          <w:lang w:val="en-AU"/>
        </w:rPr>
        <w:t>We request two modifications to seev.033:</w:t>
      </w:r>
    </w:p>
    <w:p w14:paraId="533851B3" w14:textId="1344FEF6" w:rsidR="003D5317" w:rsidRPr="003D5317" w:rsidRDefault="003D5317" w:rsidP="003D5317">
      <w:pPr>
        <w:numPr>
          <w:ilvl w:val="0"/>
          <w:numId w:val="17"/>
        </w:numPr>
        <w:rPr>
          <w:lang w:val="en-AU"/>
        </w:rPr>
      </w:pPr>
      <w:r w:rsidRPr="003D5317">
        <w:rPr>
          <w:lang w:val="en-AU"/>
        </w:rPr>
        <w:t>Add an </w:t>
      </w:r>
      <w:r w:rsidRPr="003D5317">
        <w:rPr>
          <w:b/>
          <w:bCs/>
          <w:lang w:val="en-AU"/>
        </w:rPr>
        <w:t>optional bank account</w:t>
      </w:r>
      <w:r w:rsidRPr="003D5317">
        <w:rPr>
          <w:lang w:val="en-AU"/>
        </w:rPr>
        <w:t xml:space="preserve"> element to support corporate action elections that require </w:t>
      </w:r>
      <w:r w:rsidR="00277589">
        <w:rPr>
          <w:lang w:val="en-AU"/>
        </w:rPr>
        <w:t xml:space="preserve">payment information. Examples of events requiring bank account details are Share Purchase Plans or Dividend Reinvestment plans. Ideally the </w:t>
      </w:r>
      <w:r w:rsidR="00277589" w:rsidRPr="00277589">
        <w:rPr>
          <w:b/>
          <w:bCs/>
          <w:lang w:val="en-AU"/>
        </w:rPr>
        <w:t>Financial Institution</w:t>
      </w:r>
      <w:r w:rsidR="00277589">
        <w:rPr>
          <w:lang w:val="en-AU"/>
        </w:rPr>
        <w:t xml:space="preserve"> where the Account is held would also be included in the message.</w:t>
      </w:r>
    </w:p>
    <w:p w14:paraId="7939DBFB" w14:textId="3DAF4FBC" w:rsidR="000408BA" w:rsidRPr="00850657" w:rsidRDefault="003D5317" w:rsidP="000408BA">
      <w:pPr>
        <w:numPr>
          <w:ilvl w:val="0"/>
          <w:numId w:val="17"/>
        </w:numPr>
        <w:rPr>
          <w:lang w:val="en-AU"/>
        </w:rPr>
      </w:pPr>
      <w:r w:rsidRPr="003D5317">
        <w:rPr>
          <w:lang w:val="en-AU"/>
        </w:rPr>
        <w:t>Extend the election quantity/choice component so that an instructed election may be expressed as </w:t>
      </w:r>
      <w:r w:rsidRPr="003D5317">
        <w:rPr>
          <w:b/>
          <w:bCs/>
          <w:lang w:val="en-AU"/>
        </w:rPr>
        <w:t>quantity</w:t>
      </w:r>
      <w:r w:rsidRPr="003D5317">
        <w:rPr>
          <w:lang w:val="en-AU"/>
        </w:rPr>
        <w:t>, </w:t>
      </w:r>
      <w:r w:rsidRPr="003D5317">
        <w:rPr>
          <w:b/>
          <w:bCs/>
          <w:lang w:val="en-AU"/>
        </w:rPr>
        <w:t>amount</w:t>
      </w:r>
      <w:r w:rsidRPr="003D5317">
        <w:rPr>
          <w:lang w:val="en-AU"/>
        </w:rPr>
        <w:t>, or </w:t>
      </w:r>
      <w:r w:rsidRPr="003D5317">
        <w:rPr>
          <w:b/>
          <w:bCs/>
          <w:lang w:val="en-AU"/>
        </w:rPr>
        <w:t>percentage</w:t>
      </w:r>
      <w:r w:rsidRPr="003D5317">
        <w:rPr>
          <w:lang w:val="en-AU"/>
        </w:rPr>
        <w:t xml:space="preserve">, with percentage available as an optional alternative </w:t>
      </w:r>
      <w:r w:rsidR="00277589">
        <w:rPr>
          <w:lang w:val="en-AU"/>
        </w:rPr>
        <w:t>for Dividend Reinvestment plans for instance.</w:t>
      </w: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07896D3D" w14:textId="1AABEADF" w:rsidR="00B75A62" w:rsidRDefault="00B75A62" w:rsidP="00277589">
      <w:pPr>
        <w:rPr>
          <w:lang w:val="en-AU"/>
        </w:rPr>
      </w:pPr>
      <w:r w:rsidRPr="00B75A62">
        <w:rPr>
          <w:u w:val="single"/>
          <w:lang w:val="en-AU"/>
        </w:rPr>
        <w:t>context</w:t>
      </w:r>
      <w:r>
        <w:rPr>
          <w:lang w:val="en-AU"/>
        </w:rPr>
        <w:t>:</w:t>
      </w:r>
    </w:p>
    <w:p w14:paraId="18A0358F" w14:textId="77777777" w:rsidR="00B75A62" w:rsidRPr="00FD4E9E" w:rsidRDefault="00B75A62" w:rsidP="00B75A62">
      <w:pPr>
        <w:jc w:val="both"/>
        <w:rPr>
          <w:rStyle w:val="ui-provider"/>
        </w:rPr>
      </w:pPr>
      <w:r w:rsidRPr="00FD4E9E">
        <w:rPr>
          <w:rStyle w:val="ui-provider"/>
        </w:rPr>
        <w:t xml:space="preserve">The Australian Securities Exchange (ASX) has initiated a project to replace the current Australian equities clearing and settlement market infrastructure system (CHESS).  </w:t>
      </w:r>
    </w:p>
    <w:p w14:paraId="55335F5A" w14:textId="77777777" w:rsidR="00B75A62" w:rsidRDefault="00B75A62" w:rsidP="00B75A62">
      <w:pPr>
        <w:rPr>
          <w:rStyle w:val="ui-provider"/>
        </w:rPr>
      </w:pPr>
      <w:r w:rsidRPr="00FD4E9E">
        <w:rPr>
          <w:rStyle w:val="ui-provider"/>
        </w:rPr>
        <w:t>CHESS (Clearing House Electronic Subregister System) is the system operated by ASX to manage the clearing and settlement of equity market transactions, and to record current security holdings (and the holders) on a name on a register basis.</w:t>
      </w:r>
      <w:r w:rsidRPr="00FD4E9E" w:rsidDel="006D2DA9">
        <w:rPr>
          <w:rStyle w:val="ui-provider"/>
        </w:rPr>
        <w:t xml:space="preserve"> </w:t>
      </w:r>
      <w:r w:rsidRPr="00FD4E9E">
        <w:rPr>
          <w:rStyle w:val="ui-provider"/>
        </w:rPr>
        <w:t xml:space="preserve">The implementation of the replacement system will provide the existing core functionality and services as well as service enhancements. The current proprietary CHESS messaging standards will be replaced with ISO 20022 standards. </w:t>
      </w:r>
    </w:p>
    <w:p w14:paraId="2EDDE693" w14:textId="77777777" w:rsidR="00B75A62" w:rsidRDefault="00B75A62" w:rsidP="00B75A62">
      <w:pPr>
        <w:rPr>
          <w:rStyle w:val="ui-provider"/>
        </w:rPr>
      </w:pPr>
      <w:r>
        <w:rPr>
          <w:rStyle w:val="ui-provider"/>
        </w:rPr>
        <w:t>The purpose of this Change Request is to fully align the ISO messages used in CHESS to avoid using supplementary data for required elements.</w:t>
      </w:r>
    </w:p>
    <w:p w14:paraId="2C2EC09E" w14:textId="54BDA3E7" w:rsidR="00B75A62" w:rsidRPr="00B75A62" w:rsidRDefault="00B75A62" w:rsidP="00277589">
      <w:pPr>
        <w:rPr>
          <w:u w:val="single"/>
          <w:lang w:val="en-AU"/>
        </w:rPr>
      </w:pPr>
      <w:r w:rsidRPr="00B75A62">
        <w:rPr>
          <w:u w:val="single"/>
          <w:lang w:val="en-AU"/>
        </w:rPr>
        <w:t>For the seev.033 in particular:</w:t>
      </w:r>
    </w:p>
    <w:p w14:paraId="57450FE7" w14:textId="1F1BC60C" w:rsidR="00277589" w:rsidRPr="00277589" w:rsidRDefault="00277589" w:rsidP="00277589">
      <w:pPr>
        <w:rPr>
          <w:lang w:val="en-AU"/>
        </w:rPr>
      </w:pPr>
      <w:r w:rsidRPr="00277589">
        <w:rPr>
          <w:lang w:val="en-AU"/>
        </w:rPr>
        <w:t>In market practice (e.g. Australian registries such as Link/MUFG, Computershare, Automic), corporate action participation (e.g. Share Purchase Plans or Dividend Reinvestment Plans) can give rise to cash payments such as refunds or residual entitlements.</w:t>
      </w:r>
    </w:p>
    <w:p w14:paraId="0F8005A9" w14:textId="77777777" w:rsidR="00277589" w:rsidRPr="00277589" w:rsidRDefault="00277589" w:rsidP="00277589">
      <w:pPr>
        <w:rPr>
          <w:lang w:val="en-AU"/>
        </w:rPr>
      </w:pPr>
      <w:r w:rsidRPr="00277589">
        <w:rPr>
          <w:lang w:val="en-AU"/>
        </w:rPr>
        <w:t>To facilitate these payments, investors are required to provide explicit bank account details (account name, BSB, account number) via registry forms.</w:t>
      </w:r>
    </w:p>
    <w:p w14:paraId="3D65D7B9" w14:textId="77777777" w:rsidR="00277589" w:rsidRPr="00277589" w:rsidRDefault="00277589" w:rsidP="00277589">
      <w:pPr>
        <w:rPr>
          <w:lang w:val="en-AU"/>
        </w:rPr>
      </w:pPr>
      <w:r w:rsidRPr="00277589">
        <w:rPr>
          <w:lang w:val="en-AU"/>
        </w:rPr>
        <w:t>However, these payment instructions are not currently part of the corporate action election message (seev.033), resulting in a separation between:</w:t>
      </w:r>
    </w:p>
    <w:p w14:paraId="071197F2" w14:textId="77777777" w:rsidR="00277589" w:rsidRPr="00277589" w:rsidRDefault="00277589" w:rsidP="00277589">
      <w:pPr>
        <w:numPr>
          <w:ilvl w:val="0"/>
          <w:numId w:val="18"/>
        </w:numPr>
        <w:rPr>
          <w:lang w:val="en-AU"/>
        </w:rPr>
      </w:pPr>
      <w:r w:rsidRPr="00277589">
        <w:rPr>
          <w:lang w:val="en-AU"/>
        </w:rPr>
        <w:t>the election instruction, and</w:t>
      </w:r>
    </w:p>
    <w:p w14:paraId="48FEDA2F" w14:textId="77777777" w:rsidR="00277589" w:rsidRPr="00277589" w:rsidRDefault="00277589" w:rsidP="00277589">
      <w:pPr>
        <w:numPr>
          <w:ilvl w:val="0"/>
          <w:numId w:val="18"/>
        </w:numPr>
        <w:rPr>
          <w:lang w:val="en-AU"/>
        </w:rPr>
      </w:pPr>
      <w:r w:rsidRPr="00277589">
        <w:rPr>
          <w:lang w:val="en-AU"/>
        </w:rPr>
        <w:t>the cash settlement instruction</w:t>
      </w:r>
    </w:p>
    <w:p w14:paraId="74050A8C" w14:textId="77777777" w:rsidR="00277589" w:rsidRDefault="00277589" w:rsidP="00277589">
      <w:pPr>
        <w:rPr>
          <w:lang w:val="en-AU"/>
        </w:rPr>
      </w:pPr>
      <w:r w:rsidRPr="00277589">
        <w:rPr>
          <w:lang w:val="en-AU"/>
        </w:rPr>
        <w:t xml:space="preserve">It is therefore proposed to introduce an optional </w:t>
      </w:r>
      <w:r w:rsidRPr="00277589">
        <w:rPr>
          <w:b/>
          <w:bCs/>
          <w:lang w:val="en-AU"/>
        </w:rPr>
        <w:t>cash account identification component</w:t>
      </w:r>
      <w:r w:rsidRPr="00277589">
        <w:rPr>
          <w:lang w:val="en-AU"/>
        </w:rPr>
        <w:t xml:space="preserve"> in seev.033 to allow the instructing party to specify the bank account to be used for payments arising from the election.</w:t>
      </w:r>
    </w:p>
    <w:p w14:paraId="60EF0F95" w14:textId="05930B88" w:rsidR="00B75A62" w:rsidRPr="00B75A62" w:rsidRDefault="00277589" w:rsidP="00B75A62">
      <w:pPr>
        <w:rPr>
          <w:lang w:val="en-AU"/>
        </w:rPr>
      </w:pPr>
      <w:r>
        <w:rPr>
          <w:lang w:val="en-AU"/>
        </w:rPr>
        <w:t xml:space="preserve">Regarding the addition </w:t>
      </w:r>
      <w:r w:rsidR="00B75A62">
        <w:rPr>
          <w:lang w:val="en-AU"/>
        </w:rPr>
        <w:t>of “</w:t>
      </w:r>
      <w:r>
        <w:rPr>
          <w:lang w:val="en-AU"/>
        </w:rPr>
        <w:t>instructed percentage”, most DRP plans will allow</w:t>
      </w:r>
      <w:r w:rsidR="00B75A62" w:rsidRPr="00B75A62">
        <w:rPr>
          <w:lang w:val="en-AU"/>
        </w:rPr>
        <w:t xml:space="preserve"> a corporate action election to be expressed not only as a quantity of securities, but also as a percentage of the holder’s eligible position.</w:t>
      </w:r>
      <w:r w:rsidR="00B75A62" w:rsidRPr="00B75A62">
        <w:rPr>
          <w:lang w:val="en-AU"/>
        </w:rPr>
        <w:br/>
        <w:t>In such cases, the instructing party specifies the extent of participation as a relative proportion of the total holding rather than as an absolute number of securities.</w:t>
      </w:r>
    </w:p>
    <w:p w14:paraId="1EC9DCD3" w14:textId="5B4E56F9" w:rsidR="006D4A37" w:rsidRDefault="006D4A37" w:rsidP="00277589"/>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1A7B6BCB"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1</w:t>
      </w:r>
      <w:r w:rsidR="00523EA7" w:rsidRPr="00523EA7">
        <w:rPr>
          <w:szCs w:val="24"/>
          <w:vertAlign w:val="superscript"/>
          <w:lang w:val="en-GB"/>
        </w:rPr>
        <w:t>st</w:t>
      </w:r>
      <w:r>
        <w:rPr>
          <w:szCs w:val="24"/>
          <w:lang w:val="en-GB"/>
        </w:rPr>
        <w:t xml:space="preserve">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w:t>
      </w:r>
      <w:r w:rsidR="00F34C66">
        <w:rPr>
          <w:szCs w:val="24"/>
          <w:lang w:val="en-GB"/>
        </w:rPr>
        <w:lastRenderedPageBreak/>
        <w:t xml:space="preserve">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0DB5AD70"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r w:rsidR="00523EA7" w:rsidRPr="0085530C">
        <w:rPr>
          <w:i/>
          <w:sz w:val="23"/>
          <w:szCs w:val="23"/>
        </w:rPr>
        <w:t>versions</w:t>
      </w:r>
      <w:r w:rsidR="0085530C" w:rsidRPr="0085530C">
        <w:rPr>
          <w:i/>
          <w:sz w:val="23"/>
          <w:szCs w:val="23"/>
        </w:rPr>
        <w:t xml:space="preserve">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364D0C7A" w14:textId="77777777" w:rsidR="00850657" w:rsidRDefault="000408BA" w:rsidP="00850657">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0C449986" w14:textId="77777777" w:rsidR="00850657" w:rsidRDefault="00850657" w:rsidP="00850657">
      <w:pPr>
        <w:rPr>
          <w:lang w:val="en-GB"/>
        </w:rPr>
      </w:pPr>
    </w:p>
    <w:p w14:paraId="151459B7" w14:textId="44E47AB7" w:rsidR="00C41DDB" w:rsidRPr="00E8579D" w:rsidRDefault="00C41DDB" w:rsidP="00850657">
      <w:pPr>
        <w:numPr>
          <w:ilvl w:val="0"/>
          <w:numId w:val="6"/>
        </w:num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5684" w14:textId="77777777" w:rsidR="0046083D" w:rsidRDefault="0046083D">
      <w:r>
        <w:separator/>
      </w:r>
    </w:p>
  </w:endnote>
  <w:endnote w:type="continuationSeparator" w:id="0">
    <w:p w14:paraId="7447D9D2" w14:textId="77777777" w:rsidR="0046083D" w:rsidRDefault="0046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1CC512C" w:rsidR="00567F13" w:rsidRDefault="00633B0A">
    <w:pPr>
      <w:pStyle w:val="Footer"/>
      <w:rPr>
        <w:rStyle w:val="PageNumber"/>
      </w:rPr>
    </w:pPr>
    <w:fldSimple w:instr=" FILENAME   \* MERGEFORMAT ">
      <w:r w:rsidR="00812C4D">
        <w:rPr>
          <w:noProof/>
        </w:rPr>
        <w:t>CR1603_ASX_BankAccountInstructedPercentage_CA_v1.docx</w:t>
      </w:r>
    </w:fldSimple>
    <w:r w:rsidR="00567F13">
      <w:tab/>
      <w:t xml:space="preserve">Produced by </w:t>
    </w:r>
    <w:r w:rsidR="00B75A62">
      <w:t xml:space="preserve">ASX </w:t>
    </w:r>
    <w:r w:rsidR="00B75A62">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276E" w14:textId="77777777" w:rsidR="0046083D" w:rsidRDefault="0046083D">
      <w:r>
        <w:separator/>
      </w:r>
    </w:p>
  </w:footnote>
  <w:footnote w:type="continuationSeparator" w:id="0">
    <w:p w14:paraId="68E153A8" w14:textId="77777777" w:rsidR="0046083D" w:rsidRDefault="0046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92812CC" w:rsidR="00E74C04" w:rsidRPr="00801493" w:rsidRDefault="00801493">
    <w:pPr>
      <w:pStyle w:val="Header"/>
      <w:rPr>
        <w:lang w:val="fr-BE"/>
      </w:rPr>
    </w:pPr>
    <w:r>
      <w:rPr>
        <w:lang w:val="fr-BE"/>
      </w:rPr>
      <w:t xml:space="preserve">RA ID : </w:t>
    </w:r>
    <w:r w:rsidR="00812C4D">
      <w:rPr>
        <w:lang w:val="fr-BE"/>
      </w:rPr>
      <w:t>CR1603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E7AE7"/>
    <w:multiLevelType w:val="multilevel"/>
    <w:tmpl w:val="86F4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E26534"/>
    <w:multiLevelType w:val="multilevel"/>
    <w:tmpl w:val="ADBA3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E456A3"/>
    <w:multiLevelType w:val="hybridMultilevel"/>
    <w:tmpl w:val="CE7AADB4"/>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92A7D"/>
    <w:multiLevelType w:val="hybridMultilevel"/>
    <w:tmpl w:val="7604121E"/>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8"/>
  </w:num>
  <w:num w:numId="6" w16cid:durableId="1944336248">
    <w:abstractNumId w:val="10"/>
  </w:num>
  <w:num w:numId="7" w16cid:durableId="728386006">
    <w:abstractNumId w:val="13"/>
  </w:num>
  <w:num w:numId="8" w16cid:durableId="1187863317">
    <w:abstractNumId w:val="11"/>
  </w:num>
  <w:num w:numId="9" w16cid:durableId="1549537704">
    <w:abstractNumId w:val="17"/>
  </w:num>
  <w:num w:numId="10" w16cid:durableId="2044745797">
    <w:abstractNumId w:val="5"/>
  </w:num>
  <w:num w:numId="11" w16cid:durableId="170728363">
    <w:abstractNumId w:val="8"/>
  </w:num>
  <w:num w:numId="12" w16cid:durableId="1179153660">
    <w:abstractNumId w:val="12"/>
  </w:num>
  <w:num w:numId="13" w16cid:durableId="800684503">
    <w:abstractNumId w:val="4"/>
  </w:num>
  <w:num w:numId="14" w16cid:durableId="206526256">
    <w:abstractNumId w:val="6"/>
  </w:num>
  <w:num w:numId="15" w16cid:durableId="1886671329">
    <w:abstractNumId w:val="15"/>
  </w:num>
  <w:num w:numId="16" w16cid:durableId="222108804">
    <w:abstractNumId w:val="14"/>
  </w:num>
  <w:num w:numId="17" w16cid:durableId="13577348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7077464">
    <w:abstractNumId w:val="7"/>
  </w:num>
  <w:num w:numId="19" w16cid:durableId="3208877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77589"/>
    <w:rsid w:val="002904C8"/>
    <w:rsid w:val="002B0567"/>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A1EBF"/>
    <w:rsid w:val="003A3D7D"/>
    <w:rsid w:val="003B261A"/>
    <w:rsid w:val="003C0213"/>
    <w:rsid w:val="003C0267"/>
    <w:rsid w:val="003C3840"/>
    <w:rsid w:val="003D5317"/>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083D"/>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26585"/>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2C4D"/>
    <w:rsid w:val="00814D4C"/>
    <w:rsid w:val="008265E8"/>
    <w:rsid w:val="008270CD"/>
    <w:rsid w:val="008270DF"/>
    <w:rsid w:val="0084123C"/>
    <w:rsid w:val="008438AF"/>
    <w:rsid w:val="00843FE8"/>
    <w:rsid w:val="00850657"/>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94AEF"/>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75A62"/>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70D"/>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3D5317"/>
    <w:rPr>
      <w:color w:val="605E5C"/>
      <w:shd w:val="clear" w:color="auto" w:fill="E1DFDD"/>
    </w:rPr>
  </w:style>
  <w:style w:type="paragraph" w:styleId="NormalWeb">
    <w:name w:val="Normal (Web)"/>
    <w:basedOn w:val="Normal"/>
    <w:rsid w:val="00277589"/>
    <w:rPr>
      <w:szCs w:val="24"/>
    </w:rPr>
  </w:style>
  <w:style w:type="character" w:customStyle="1" w:styleId="ui-provider">
    <w:name w:val="ui-provider"/>
    <w:basedOn w:val="DefaultParagraphFont"/>
    <w:rsid w:val="00B75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grid.wiley@asx.com.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iscilla.ferridebarros@asx.com.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4.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bdc3fc71-ae21-4043-b8fd-c14ba4c34699}" enabled="1" method="Privileged" siteId="{070c70e8-0d30-45bc-a508-96e7da4dd71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5367</Characters>
  <Application>Microsoft Office Word</Application>
  <DocSecurity>0</DocSecurity>
  <Lines>134</Lines>
  <Paragraphs>67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6274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2026-06-02T11:45:00Z</dcterms:created>
  <dcterms:modified xsi:type="dcterms:W3CDTF">2026-06-02T11:46:00Z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ies>
</file>