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6A2F4F3" w14:textId="0148EA90" w:rsidR="00837A09" w:rsidRPr="00AD06DF" w:rsidRDefault="00AD06DF" w:rsidP="00AD06DF">
      <w:pPr>
        <w:rPr>
          <w:rFonts w:eastAsia="Times New Roman"/>
          <w:i/>
          <w:iCs/>
          <w:sz w:val="22"/>
          <w:szCs w:val="22"/>
          <w:lang w:val="en"/>
        </w:rPr>
      </w:pPr>
      <w:r w:rsidRPr="00AD06DF">
        <w:rPr>
          <w:rFonts w:eastAsia="Times New Roman"/>
          <w:i/>
          <w:iCs/>
          <w:sz w:val="22"/>
          <w:szCs w:val="22"/>
          <w:lang w:val="en"/>
        </w:rPr>
        <w:t>Note: the purpose of this document is to give guidelines to parties who want to introduce a request to change an existing ISO 20022 message(s</w:t>
      </w:r>
      <w:proofErr w:type="gramStart"/>
      <w:r w:rsidRPr="00AD06DF">
        <w:rPr>
          <w:rFonts w:eastAsia="Times New Roman"/>
          <w:i/>
          <w:iCs/>
          <w:sz w:val="22"/>
          <w:szCs w:val="22"/>
          <w:lang w:val="en"/>
        </w:rPr>
        <w:t>), or</w:t>
      </w:r>
      <w:proofErr w:type="gramEnd"/>
      <w:r w:rsidRPr="00AD06DF">
        <w:rPr>
          <w:rFonts w:eastAsia="Times New Roman"/>
          <w:i/>
          <w:iCs/>
          <w:sz w:val="22"/>
          <w:szCs w:val="22"/>
          <w:lang w:val="en"/>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8">
        <w:r w:rsidRPr="00AD06DF">
          <w:rPr>
            <w:rFonts w:eastAsia="Times New Roman"/>
            <w:i/>
            <w:iCs/>
            <w:color w:val="0000FF"/>
            <w:sz w:val="22"/>
            <w:szCs w:val="22"/>
            <w:u w:val="single"/>
            <w:lang w:val="en"/>
          </w:rPr>
          <w:t>maintenance process</w:t>
        </w:r>
      </w:hyperlink>
      <w:r w:rsidRPr="00AD06DF">
        <w:rPr>
          <w:rFonts w:eastAsia="Times New Roman"/>
          <w:i/>
          <w:iCs/>
          <w:sz w:val="22"/>
          <w:szCs w:val="22"/>
          <w:lang w:val="en"/>
        </w:rPr>
        <w:t xml:space="preserve">. Change requests are to be sent to </w:t>
      </w:r>
      <w:hyperlink r:id="rId9">
        <w:r w:rsidRPr="00AD06DF">
          <w:rPr>
            <w:rFonts w:eastAsia="Times New Roman"/>
            <w:i/>
            <w:iCs/>
            <w:color w:val="0000FF"/>
            <w:sz w:val="22"/>
            <w:szCs w:val="22"/>
            <w:u w:val="single"/>
            <w:lang w:val="en"/>
          </w:rPr>
          <w:t>iso20022ra@iso20022.org</w:t>
        </w:r>
      </w:hyperlink>
      <w:r w:rsidRPr="00AD06DF">
        <w:rPr>
          <w:rFonts w:eastAsia="Times New Roman"/>
          <w:i/>
          <w:iCs/>
          <w:sz w:val="22"/>
          <w:szCs w:val="22"/>
          <w:lang w:val="en"/>
        </w:rPr>
        <w:t>. All change requests conforming to this template received by June 1</w:t>
      </w:r>
      <w:r w:rsidRPr="00AD06DF">
        <w:rPr>
          <w:rFonts w:eastAsia="Times New Roman"/>
          <w:i/>
          <w:iCs/>
          <w:sz w:val="22"/>
          <w:szCs w:val="22"/>
          <w:vertAlign w:val="superscript"/>
          <w:lang w:val="en"/>
        </w:rPr>
        <w:t>st</w:t>
      </w:r>
      <w:r w:rsidRPr="00AD06DF">
        <w:rPr>
          <w:rFonts w:eastAsia="Times New Roman"/>
          <w:i/>
          <w:iCs/>
          <w:sz w:val="22"/>
          <w:szCs w:val="22"/>
          <w:lang w:val="en"/>
        </w:rPr>
        <w:t xml:space="preserve"> will be considered for development in the following yearly ISO 20022 maintenance cycle which completes with publication of new message versions in April/May of the following year.</w:t>
      </w:r>
      <w:r>
        <w:rPr>
          <w:rFonts w:eastAsia="Times New Roman"/>
          <w:i/>
          <w:iCs/>
          <w:sz w:val="22"/>
          <w:szCs w:val="22"/>
          <w:lang w:val="en"/>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86FF8AE" w14:textId="77777777" w:rsidR="00ED7E50" w:rsidRDefault="00ED7E50" w:rsidP="00ED7E50">
      <w:pPr>
        <w:rPr>
          <w:b/>
          <w:szCs w:val="24"/>
          <w:lang w:val="en-GB"/>
        </w:rPr>
      </w:pPr>
    </w:p>
    <w:p w14:paraId="2EB5B047" w14:textId="77777777" w:rsidR="00C13434" w:rsidRDefault="008438AF" w:rsidP="00C13434">
      <w:pPr>
        <w:rPr>
          <w:szCs w:val="24"/>
          <w:lang w:val="pt-BR"/>
        </w:rPr>
      </w:pPr>
      <w:r w:rsidRPr="00C13434">
        <w:rPr>
          <w:i/>
          <w:szCs w:val="24"/>
          <w:lang w:val="pt-BR"/>
        </w:rPr>
        <w:t>A.1 Submitter</w:t>
      </w:r>
      <w:r w:rsidRPr="00C13434">
        <w:rPr>
          <w:szCs w:val="24"/>
          <w:lang w:val="pt-BR"/>
        </w:rPr>
        <w:t xml:space="preserve">: </w:t>
      </w:r>
    </w:p>
    <w:p w14:paraId="44352A1E" w14:textId="6DBD9EA4" w:rsidR="00C13434" w:rsidRDefault="00C13434" w:rsidP="00C13434">
      <w:pPr>
        <w:rPr>
          <w:szCs w:val="24"/>
          <w:lang w:val="pt-BR"/>
        </w:rPr>
      </w:pPr>
      <w:r w:rsidRPr="00902D39">
        <w:rPr>
          <w:szCs w:val="24"/>
          <w:lang w:val="pt-BR"/>
        </w:rPr>
        <w:t>Banco Central do Brasil (</w:t>
      </w:r>
      <w:r w:rsidR="00ED00D7">
        <w:rPr>
          <w:szCs w:val="24"/>
          <w:lang w:val="pt-BR"/>
        </w:rPr>
        <w:t xml:space="preserve">BCB - </w:t>
      </w:r>
      <w:r w:rsidRPr="00902D39">
        <w:rPr>
          <w:szCs w:val="24"/>
          <w:lang w:val="pt-BR"/>
        </w:rPr>
        <w:t>Central Bank of Brazil)</w:t>
      </w:r>
    </w:p>
    <w:p w14:paraId="224D3F9A" w14:textId="77777777" w:rsidR="00034520" w:rsidRDefault="00034520" w:rsidP="00C13434">
      <w:pPr>
        <w:rPr>
          <w:szCs w:val="24"/>
          <w:lang w:val="pt-BR"/>
        </w:rPr>
      </w:pPr>
    </w:p>
    <w:p w14:paraId="1A3EE15A" w14:textId="5D09796E" w:rsidR="0003452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5A7611D" w14:textId="77777777" w:rsidR="009E7CD3" w:rsidRPr="008A19CB" w:rsidRDefault="009E7CD3" w:rsidP="009E7CD3">
      <w:pPr>
        <w:rPr>
          <w:iCs/>
          <w:szCs w:val="24"/>
        </w:rPr>
      </w:pPr>
      <w:r w:rsidRPr="008A19CB">
        <w:rPr>
          <w:iCs/>
          <w:szCs w:val="24"/>
        </w:rPr>
        <w:t xml:space="preserve">Liliane Dutra: </w:t>
      </w:r>
      <w:hyperlink r:id="rId10" w:history="1">
        <w:r w:rsidRPr="008A19CB">
          <w:rPr>
            <w:rStyle w:val="Hyperlink"/>
            <w:iCs/>
            <w:szCs w:val="24"/>
          </w:rPr>
          <w:t>liliane.dutra@ipmfglobal.com.br</w:t>
        </w:r>
      </w:hyperlink>
      <w:r w:rsidRPr="008A19CB">
        <w:rPr>
          <w:iCs/>
          <w:szCs w:val="24"/>
        </w:rPr>
        <w:t xml:space="preserve"> + 55 11 98542-4421</w:t>
      </w:r>
    </w:p>
    <w:p w14:paraId="01455707" w14:textId="1D6FA06E" w:rsidR="009E7CD3" w:rsidRPr="00902D39" w:rsidRDefault="009E7CD3" w:rsidP="009E7CD3">
      <w:pPr>
        <w:rPr>
          <w:iCs/>
          <w:szCs w:val="24"/>
          <w:lang w:val="pt-BR"/>
        </w:rPr>
      </w:pPr>
      <w:r w:rsidRPr="00902D39">
        <w:rPr>
          <w:iCs/>
          <w:szCs w:val="24"/>
          <w:lang w:val="pt-BR"/>
        </w:rPr>
        <w:t xml:space="preserve">Fernanda Pedroso: </w:t>
      </w:r>
      <w:hyperlink r:id="rId11" w:history="1">
        <w:r w:rsidRPr="00902D39">
          <w:rPr>
            <w:rStyle w:val="Hyperlink"/>
            <w:iCs/>
            <w:szCs w:val="24"/>
            <w:lang w:val="pt-BR"/>
          </w:rPr>
          <w:t>fernanda.pedroso@bcb.gov.br</w:t>
        </w:r>
      </w:hyperlink>
      <w:r w:rsidRPr="00902D39">
        <w:rPr>
          <w:iCs/>
          <w:szCs w:val="24"/>
          <w:lang w:val="pt-BR"/>
        </w:rPr>
        <w:t xml:space="preserve"> +55 </w:t>
      </w:r>
      <w:r w:rsidR="000F4554">
        <w:rPr>
          <w:iCs/>
          <w:szCs w:val="24"/>
          <w:lang w:val="pt-BR"/>
        </w:rPr>
        <w:t>6</w:t>
      </w:r>
      <w:r w:rsidRPr="00902D39">
        <w:rPr>
          <w:iCs/>
          <w:szCs w:val="24"/>
          <w:lang w:val="pt-BR"/>
        </w:rPr>
        <w:t>1 3</w:t>
      </w:r>
      <w:r w:rsidR="000F4554">
        <w:rPr>
          <w:iCs/>
          <w:szCs w:val="24"/>
          <w:lang w:val="pt-BR"/>
        </w:rPr>
        <w:t>414</w:t>
      </w:r>
      <w:r w:rsidRPr="00902D39">
        <w:rPr>
          <w:iCs/>
          <w:szCs w:val="24"/>
          <w:lang w:val="pt-BR"/>
        </w:rPr>
        <w:t>-</w:t>
      </w:r>
      <w:r w:rsidR="000F4554">
        <w:rPr>
          <w:iCs/>
          <w:szCs w:val="24"/>
          <w:lang w:val="pt-BR"/>
        </w:rPr>
        <w:t>4975</w:t>
      </w:r>
    </w:p>
    <w:p w14:paraId="5C285194" w14:textId="02A650F1" w:rsidR="009E7CD3" w:rsidRPr="009E7CD3" w:rsidRDefault="009E7CD3" w:rsidP="009E7CD3">
      <w:pPr>
        <w:rPr>
          <w:iCs/>
          <w:szCs w:val="24"/>
        </w:rPr>
      </w:pPr>
      <w:r w:rsidRPr="009E7CD3">
        <w:rPr>
          <w:iCs/>
          <w:szCs w:val="24"/>
        </w:rPr>
        <w:t>Ed</w:t>
      </w:r>
      <w:r>
        <w:rPr>
          <w:iCs/>
          <w:szCs w:val="24"/>
        </w:rPr>
        <w:t>son Seiiti Higuti</w:t>
      </w:r>
      <w:r w:rsidRPr="009E7CD3">
        <w:rPr>
          <w:iCs/>
          <w:szCs w:val="24"/>
        </w:rPr>
        <w:t xml:space="preserve">: </w:t>
      </w:r>
      <w:hyperlink r:id="rId12" w:history="1">
        <w:r w:rsidR="00034520" w:rsidRPr="00F90A35">
          <w:rPr>
            <w:rStyle w:val="Hyperlink"/>
            <w:iCs/>
            <w:szCs w:val="24"/>
          </w:rPr>
          <w:t>edson.higuti@bcb.gov.br</w:t>
        </w:r>
      </w:hyperlink>
      <w:r w:rsidRPr="009E7CD3">
        <w:rPr>
          <w:iCs/>
          <w:szCs w:val="24"/>
        </w:rPr>
        <w:t xml:space="preserve"> +55 </w:t>
      </w:r>
      <w:r>
        <w:rPr>
          <w:iCs/>
          <w:szCs w:val="24"/>
        </w:rPr>
        <w:t>1</w:t>
      </w:r>
      <w:r w:rsidRPr="009E7CD3">
        <w:rPr>
          <w:iCs/>
          <w:szCs w:val="24"/>
        </w:rPr>
        <w:t>1 34</w:t>
      </w:r>
      <w:r w:rsidR="000F4554">
        <w:rPr>
          <w:iCs/>
          <w:szCs w:val="24"/>
        </w:rPr>
        <w:t>91</w:t>
      </w:r>
      <w:r w:rsidRPr="009E7CD3">
        <w:rPr>
          <w:iCs/>
          <w:szCs w:val="24"/>
        </w:rPr>
        <w:t>-</w:t>
      </w:r>
      <w:r>
        <w:rPr>
          <w:iCs/>
          <w:szCs w:val="24"/>
        </w:rPr>
        <w:t>6585</w:t>
      </w:r>
    </w:p>
    <w:p w14:paraId="2EACB94A" w14:textId="77777777" w:rsidR="00894786" w:rsidRPr="009E7CD3" w:rsidRDefault="00894786" w:rsidP="008438AF">
      <w:pPr>
        <w:rPr>
          <w:szCs w:val="24"/>
        </w:rPr>
      </w:pPr>
    </w:p>
    <w:p w14:paraId="25E92BB5" w14:textId="0559DBFD"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C663E91" w14:textId="77777777" w:rsidR="00A567BD" w:rsidRDefault="00A567BD" w:rsidP="00A567BD">
      <w:pPr>
        <w:rPr>
          <w:szCs w:val="24"/>
          <w:lang w:val="en-GB"/>
        </w:rPr>
      </w:pPr>
      <w:r>
        <w:rPr>
          <w:szCs w:val="24"/>
          <w:lang w:val="en-GB"/>
        </w:rPr>
        <w:t>ABNT CEE-112 Brazilian Standards Committee</w:t>
      </w:r>
    </w:p>
    <w:p w14:paraId="6C5C826A" w14:textId="77777777" w:rsidR="00034520" w:rsidRDefault="0003452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7ED6345" w14:textId="4455CD52" w:rsidR="00996D3D" w:rsidRDefault="00996D3D" w:rsidP="00EB5E97">
      <w:r w:rsidRPr="00996D3D">
        <w:t xml:space="preserve">The change applies to the element </w:t>
      </w:r>
      <w:r w:rsidRPr="00863428">
        <w:rPr>
          <w:b/>
          <w:bCs/>
        </w:rPr>
        <w:t>Name &lt;Nm&gt;</w:t>
      </w:r>
      <w:r w:rsidRPr="00996D3D">
        <w:t xml:space="preserve"> in the following ISO 20022 Payments messages</w:t>
      </w:r>
      <w:r>
        <w:t>:</w:t>
      </w:r>
    </w:p>
    <w:p w14:paraId="193E55B7" w14:textId="7F324E28" w:rsidR="009F3FE3" w:rsidRPr="00863428" w:rsidRDefault="00EB5E97" w:rsidP="00EB5E97">
      <w:pPr>
        <w:rPr>
          <w:b/>
          <w:bCs/>
        </w:rPr>
      </w:pPr>
      <w:r w:rsidRPr="00863428">
        <w:rPr>
          <w:b/>
          <w:bCs/>
        </w:rPr>
        <w:t xml:space="preserve">Business Domain Payments, Group </w:t>
      </w:r>
      <w:r w:rsidR="00901DA0" w:rsidRPr="00863428">
        <w:rPr>
          <w:b/>
          <w:bCs/>
        </w:rPr>
        <w:t>Payments Initiation</w:t>
      </w:r>
      <w:r w:rsidRPr="00863428">
        <w:rPr>
          <w:b/>
          <w:bCs/>
        </w:rPr>
        <w:t>:</w:t>
      </w:r>
    </w:p>
    <w:p w14:paraId="33C6F820" w14:textId="2FE2575D" w:rsidR="00A9609E" w:rsidRDefault="00A9609E" w:rsidP="00854FA6">
      <w:pPr>
        <w:rPr>
          <w:bCs/>
          <w:lang w:val="en-GB"/>
        </w:rPr>
      </w:pPr>
      <w:r w:rsidRPr="004F2289">
        <w:rPr>
          <w:bCs/>
          <w:lang w:val="en-GB"/>
        </w:rPr>
        <w:t>pain.001.001.12 ( CustomerCreditTransferInitiationV12 )</w:t>
      </w:r>
    </w:p>
    <w:p w14:paraId="50809F25" w14:textId="773D2A29" w:rsidR="0068719E" w:rsidRPr="0033465E" w:rsidRDefault="00A11385" w:rsidP="00854FA6">
      <w:pPr>
        <w:rPr>
          <w:bCs/>
          <w:lang w:val="en-GB"/>
        </w:rPr>
      </w:pPr>
      <w:r w:rsidRPr="0033465E">
        <w:rPr>
          <w:bCs/>
          <w:lang w:val="en-GB"/>
        </w:rPr>
        <w:t>pain.002.001.14 ( CustomerPaymentStatusReportV14 )</w:t>
      </w:r>
    </w:p>
    <w:p w14:paraId="3F3500AF" w14:textId="77777777" w:rsidR="005D6D41" w:rsidRDefault="005D6D41" w:rsidP="00854FA6"/>
    <w:p w14:paraId="7876DFDF" w14:textId="294B0CC1" w:rsidR="00625A2D" w:rsidRPr="00863428" w:rsidRDefault="00625A2D" w:rsidP="00854FA6">
      <w:pPr>
        <w:rPr>
          <w:b/>
          <w:bCs/>
          <w:lang w:val="en-GB"/>
        </w:rPr>
      </w:pPr>
      <w:r w:rsidRPr="00863428">
        <w:rPr>
          <w:b/>
          <w:bCs/>
        </w:rPr>
        <w:t>Business Domain Payments, Group Payments Mandates:</w:t>
      </w:r>
    </w:p>
    <w:p w14:paraId="60F49AFF" w14:textId="45696C91" w:rsidR="00775105" w:rsidRPr="0033465E" w:rsidRDefault="009A0131" w:rsidP="00854FA6">
      <w:pPr>
        <w:rPr>
          <w:bCs/>
          <w:lang w:val="en-GB"/>
        </w:rPr>
      </w:pPr>
      <w:r w:rsidRPr="0033465E">
        <w:rPr>
          <w:bCs/>
          <w:lang w:val="en-GB"/>
        </w:rPr>
        <w:t>pain.009.001.08 ( MandateInitiationRequestV08 )</w:t>
      </w:r>
    </w:p>
    <w:p w14:paraId="1B1CB291" w14:textId="21D589DD" w:rsidR="008B057E" w:rsidRPr="0033465E" w:rsidRDefault="008B057E" w:rsidP="00854FA6">
      <w:pPr>
        <w:rPr>
          <w:bCs/>
          <w:lang w:val="en-GB"/>
        </w:rPr>
      </w:pPr>
      <w:r w:rsidRPr="0033465E">
        <w:rPr>
          <w:bCs/>
          <w:lang w:val="en-GB"/>
        </w:rPr>
        <w:t>pain.010.001.08 ( MandateAmendmentRequestV08 )</w:t>
      </w:r>
    </w:p>
    <w:p w14:paraId="75B21558" w14:textId="369B305F" w:rsidR="005D20CF" w:rsidRPr="0033465E" w:rsidRDefault="00C829AC" w:rsidP="00854FA6">
      <w:pPr>
        <w:rPr>
          <w:bCs/>
          <w:lang w:val="en-GB"/>
        </w:rPr>
      </w:pPr>
      <w:r w:rsidRPr="0033465E">
        <w:rPr>
          <w:bCs/>
          <w:lang w:val="en-GB"/>
        </w:rPr>
        <w:t>pain.011.001.08 ( MandateCancellationRequestV08 )</w:t>
      </w:r>
    </w:p>
    <w:p w14:paraId="57F09811" w14:textId="5C8F1087" w:rsidR="009420D2" w:rsidRPr="0033465E" w:rsidRDefault="009420D2" w:rsidP="00854FA6">
      <w:pPr>
        <w:rPr>
          <w:bCs/>
          <w:lang w:val="en-GB"/>
        </w:rPr>
      </w:pPr>
      <w:r w:rsidRPr="0033465E">
        <w:rPr>
          <w:bCs/>
          <w:lang w:val="en-GB"/>
        </w:rPr>
        <w:t>pain.012.001.08 ( MandateAcceptanceReportV08 )</w:t>
      </w:r>
    </w:p>
    <w:p w14:paraId="0638BFCE" w14:textId="77777777" w:rsidR="00D51DF9" w:rsidRPr="0033465E" w:rsidRDefault="00D51DF9" w:rsidP="00D51DF9">
      <w:pPr>
        <w:rPr>
          <w:bCs/>
          <w:lang w:val="en-GB"/>
        </w:rPr>
      </w:pPr>
      <w:r w:rsidRPr="0033465E">
        <w:rPr>
          <w:bCs/>
          <w:lang w:val="en-GB"/>
        </w:rPr>
        <w:lastRenderedPageBreak/>
        <w:t>pain.017.001.04 ( MandateCopyRequestV04 )</w:t>
      </w:r>
    </w:p>
    <w:p w14:paraId="4DF1C8FE" w14:textId="77777777" w:rsidR="00052E80" w:rsidRDefault="00052E80" w:rsidP="00854FA6"/>
    <w:p w14:paraId="566D0E24" w14:textId="2C337A91" w:rsidR="000C206E" w:rsidRPr="00863428" w:rsidRDefault="00454CA7" w:rsidP="00854FA6">
      <w:pPr>
        <w:rPr>
          <w:b/>
          <w:bCs/>
        </w:rPr>
      </w:pPr>
      <w:r w:rsidRPr="00863428">
        <w:rPr>
          <w:b/>
          <w:bCs/>
        </w:rPr>
        <w:t>Business Domain Payments, Group Creditor Payment Activation Request:</w:t>
      </w:r>
    </w:p>
    <w:p w14:paraId="233864EF" w14:textId="47C11C72" w:rsidR="00A871E5" w:rsidRPr="0033465E" w:rsidRDefault="00A871E5" w:rsidP="00854FA6">
      <w:pPr>
        <w:rPr>
          <w:bCs/>
          <w:lang w:val="en-GB"/>
        </w:rPr>
      </w:pPr>
      <w:r w:rsidRPr="0033465E">
        <w:rPr>
          <w:bCs/>
          <w:lang w:val="en-GB"/>
        </w:rPr>
        <w:t>pain.013.001.11 ( CreditorPaymentActivationRequestV11 )</w:t>
      </w:r>
    </w:p>
    <w:p w14:paraId="01579C7C" w14:textId="480663B0" w:rsidR="00A871E5" w:rsidRPr="0033465E" w:rsidRDefault="0075474C" w:rsidP="00854FA6">
      <w:pPr>
        <w:rPr>
          <w:bCs/>
          <w:lang w:val="en-GB"/>
        </w:rPr>
      </w:pPr>
      <w:r w:rsidRPr="0033465E">
        <w:rPr>
          <w:bCs/>
          <w:lang w:val="en-GB"/>
        </w:rPr>
        <w:t>pain.014.001.11 ( CreditorPaymentActivationRequestStatusReportV11 )</w:t>
      </w:r>
    </w:p>
    <w:p w14:paraId="2EA327F0" w14:textId="77777777" w:rsidR="00F06156" w:rsidRDefault="00F06156" w:rsidP="00854FA6"/>
    <w:p w14:paraId="36BC487E" w14:textId="69BA6435" w:rsidR="0033465E" w:rsidRPr="00996D3D" w:rsidRDefault="003C6DFF" w:rsidP="00854FA6">
      <w:pPr>
        <w:rPr>
          <w:b/>
          <w:bCs/>
        </w:rPr>
      </w:pPr>
      <w:r w:rsidRPr="00863428">
        <w:rPr>
          <w:b/>
          <w:bCs/>
        </w:rPr>
        <w:t>Business Domain Payments, Group Payments Clearing and Settlement:</w:t>
      </w:r>
    </w:p>
    <w:p w14:paraId="077A5D37" w14:textId="3F54E404" w:rsidR="00A4536C" w:rsidRPr="0033465E" w:rsidRDefault="00A4536C" w:rsidP="00854FA6">
      <w:pPr>
        <w:rPr>
          <w:bCs/>
          <w:lang w:val="en-GB"/>
        </w:rPr>
      </w:pPr>
      <w:r w:rsidRPr="0033465E">
        <w:rPr>
          <w:bCs/>
          <w:lang w:val="en-GB"/>
        </w:rPr>
        <w:t>pacs.002.001.15 ( FIToFIPaymentStatusReportV15 )</w:t>
      </w:r>
    </w:p>
    <w:p w14:paraId="7B25E641" w14:textId="14361578" w:rsidR="008372EC" w:rsidRDefault="00EB3480" w:rsidP="00854FA6">
      <w:pPr>
        <w:rPr>
          <w:bCs/>
          <w:lang w:val="en-GB"/>
        </w:rPr>
      </w:pPr>
      <w:r w:rsidRPr="004F2289">
        <w:rPr>
          <w:bCs/>
          <w:lang w:val="en-GB"/>
        </w:rPr>
        <w:t>pacs.004.001.14 ( PaymentReturnV14 )</w:t>
      </w:r>
    </w:p>
    <w:p w14:paraId="3E66D45C" w14:textId="4955C9A7" w:rsidR="00854FA6" w:rsidRPr="004F2289" w:rsidRDefault="002E5995" w:rsidP="00854FA6">
      <w:pPr>
        <w:rPr>
          <w:bCs/>
          <w:lang w:val="en-GB"/>
        </w:rPr>
      </w:pPr>
      <w:r w:rsidRPr="004F2289">
        <w:rPr>
          <w:bCs/>
          <w:lang w:val="en-GB"/>
        </w:rPr>
        <w:t>pacs.008.001.13 ( FIToFICustomerCreditTransferV13 )</w:t>
      </w:r>
    </w:p>
    <w:p w14:paraId="0E1B204D" w14:textId="51231126" w:rsidR="002E5995" w:rsidRDefault="008372EC" w:rsidP="00854FA6">
      <w:pPr>
        <w:rPr>
          <w:b/>
          <w:lang w:val="en-GB"/>
        </w:rPr>
      </w:pPr>
      <w:r w:rsidRPr="004F2289">
        <w:rPr>
          <w:bCs/>
          <w:lang w:val="en-GB"/>
        </w:rPr>
        <w:t>pacs.009.001.12 ( FinancialInstitutionCreditTransferV12</w:t>
      </w:r>
      <w:r w:rsidRPr="008372EC">
        <w:rPr>
          <w:b/>
          <w:lang w:val="en-GB"/>
        </w:rPr>
        <w:t xml:space="preserve"> )</w:t>
      </w:r>
    </w:p>
    <w:p w14:paraId="17196699" w14:textId="77777777" w:rsidR="006653EF" w:rsidRDefault="006653EF" w:rsidP="00854FA6">
      <w:pPr>
        <w:rPr>
          <w:b/>
          <w:lang w:val="en-GB"/>
        </w:rPr>
      </w:pPr>
    </w:p>
    <w:p w14:paraId="487E6B6A" w14:textId="42B0D448" w:rsidR="005D6D41" w:rsidRPr="00863428" w:rsidRDefault="005D6D41" w:rsidP="00854FA6">
      <w:pPr>
        <w:rPr>
          <w:b/>
          <w:bCs/>
        </w:rPr>
      </w:pPr>
      <w:r w:rsidRPr="00863428">
        <w:rPr>
          <w:b/>
          <w:bCs/>
        </w:rPr>
        <w:t>Business Domain Payments, Group</w:t>
      </w:r>
      <w:r w:rsidR="00D7662E" w:rsidRPr="00863428">
        <w:rPr>
          <w:b/>
          <w:bCs/>
        </w:rPr>
        <w:t xml:space="preserve"> </w:t>
      </w:r>
      <w:r w:rsidR="00A73EFA" w:rsidRPr="00863428">
        <w:rPr>
          <w:b/>
          <w:bCs/>
        </w:rPr>
        <w:t>Bank-to-Customer Cash Management</w:t>
      </w:r>
      <w:r w:rsidRPr="00863428">
        <w:rPr>
          <w:b/>
          <w:bCs/>
        </w:rPr>
        <w:t>:</w:t>
      </w:r>
    </w:p>
    <w:p w14:paraId="4C90EF72" w14:textId="0AC79BAF" w:rsidR="00E13C45" w:rsidRPr="00945A35" w:rsidRDefault="007277AD" w:rsidP="00854FA6">
      <w:pPr>
        <w:rPr>
          <w:bCs/>
          <w:lang w:val="en-GB"/>
        </w:rPr>
      </w:pPr>
      <w:r w:rsidRPr="00945A35">
        <w:rPr>
          <w:bCs/>
          <w:lang w:val="en-GB"/>
        </w:rPr>
        <w:t>camt.052.001.13 ( BankToCustomerAccountReportV13 )</w:t>
      </w:r>
    </w:p>
    <w:p w14:paraId="3A09BF11" w14:textId="3A1B0B03" w:rsidR="007277AD" w:rsidRPr="00945A35" w:rsidRDefault="003C3F30" w:rsidP="00854FA6">
      <w:pPr>
        <w:rPr>
          <w:bCs/>
          <w:lang w:val="en-GB"/>
        </w:rPr>
      </w:pPr>
      <w:r w:rsidRPr="00945A35">
        <w:rPr>
          <w:bCs/>
          <w:lang w:val="en-GB"/>
        </w:rPr>
        <w:t>camt.053.001.13 ( BankToCustomerStatementV13 )</w:t>
      </w:r>
    </w:p>
    <w:p w14:paraId="31CA909A" w14:textId="3230FB65" w:rsidR="003C3F30" w:rsidRDefault="00E62140" w:rsidP="00854FA6">
      <w:pPr>
        <w:rPr>
          <w:bCs/>
          <w:lang w:val="en-GB"/>
        </w:rPr>
      </w:pPr>
      <w:r w:rsidRPr="00945A35">
        <w:rPr>
          <w:bCs/>
          <w:lang w:val="en-GB"/>
        </w:rPr>
        <w:t>camt.054.001.13 ( BankToCustomerDebitCreditNotificationV13 )</w:t>
      </w:r>
    </w:p>
    <w:p w14:paraId="10BF949F" w14:textId="77777777" w:rsidR="00AC7330" w:rsidRDefault="00AC7330" w:rsidP="00854FA6"/>
    <w:p w14:paraId="13E86140" w14:textId="2CDD2D44" w:rsidR="002C16E8" w:rsidRPr="00863428" w:rsidRDefault="00AC7330" w:rsidP="00854FA6">
      <w:pPr>
        <w:rPr>
          <w:b/>
          <w:bCs/>
        </w:rPr>
      </w:pPr>
      <w:r w:rsidRPr="00863428">
        <w:rPr>
          <w:b/>
          <w:bCs/>
        </w:rPr>
        <w:t>Business Domain Payments, Group Exceptions &amp; Investigations:</w:t>
      </w:r>
    </w:p>
    <w:p w14:paraId="0F4EE586" w14:textId="2FBB9407" w:rsidR="00234826" w:rsidRDefault="00234826" w:rsidP="00854FA6">
      <w:pPr>
        <w:rPr>
          <w:bCs/>
          <w:lang w:val="en-GB"/>
        </w:rPr>
      </w:pPr>
      <w:r w:rsidRPr="00945A35">
        <w:rPr>
          <w:bCs/>
          <w:lang w:val="en-GB"/>
        </w:rPr>
        <w:t>camt.029.001.13 ( ResolutionOfInvestigationV13 )</w:t>
      </w:r>
    </w:p>
    <w:p w14:paraId="08204DB3" w14:textId="45209DB4" w:rsidR="009A730D" w:rsidRPr="00945A35" w:rsidRDefault="009B08FB" w:rsidP="00854FA6">
      <w:pPr>
        <w:rPr>
          <w:bCs/>
          <w:lang w:val="en-GB"/>
        </w:rPr>
      </w:pPr>
      <w:r w:rsidRPr="00945A35">
        <w:rPr>
          <w:bCs/>
          <w:lang w:val="en-GB"/>
        </w:rPr>
        <w:t>camt.055.001.12 ( CustomerPaymentCancellationRequestV12 )</w:t>
      </w:r>
    </w:p>
    <w:p w14:paraId="56E7F7DF" w14:textId="77777777" w:rsidR="004F2289" w:rsidRPr="00451986" w:rsidRDefault="004F2289" w:rsidP="00854FA6">
      <w:pPr>
        <w:rPr>
          <w:b/>
          <w:lang w:val="en-GB"/>
        </w:rPr>
      </w:pPr>
    </w:p>
    <w:p w14:paraId="09EDAEAF" w14:textId="77777777" w:rsidR="00854FA6" w:rsidRPr="00491786" w:rsidRDefault="006D4A37" w:rsidP="00854FA6">
      <w:pPr>
        <w:numPr>
          <w:ilvl w:val="0"/>
          <w:numId w:val="6"/>
        </w:numPr>
        <w:rPr>
          <w:lang w:val="en-GB"/>
        </w:rPr>
      </w:pPr>
      <w:r>
        <w:rPr>
          <w:b/>
          <w:lang w:val="en-GB"/>
        </w:rPr>
        <w:t>Description of the change request:</w:t>
      </w:r>
    </w:p>
    <w:p w14:paraId="7939DBFB" w14:textId="454490C3" w:rsidR="000408BA" w:rsidRDefault="00C70250" w:rsidP="00996D3D">
      <w:pPr>
        <w:jc w:val="both"/>
        <w:rPr>
          <w:szCs w:val="24"/>
        </w:rPr>
      </w:pPr>
      <w:r w:rsidRPr="00996D3D">
        <w:rPr>
          <w:szCs w:val="24"/>
        </w:rPr>
        <w:t>Increase</w:t>
      </w:r>
      <w:r w:rsidR="002D6F46" w:rsidRPr="00996D3D">
        <w:rPr>
          <w:szCs w:val="24"/>
        </w:rPr>
        <w:t xml:space="preserve"> </w:t>
      </w:r>
      <w:r w:rsidR="00847748" w:rsidRPr="00996D3D">
        <w:rPr>
          <w:szCs w:val="24"/>
        </w:rPr>
        <w:t xml:space="preserve">the maximum length of </w:t>
      </w:r>
      <w:r w:rsidR="00A76AE1" w:rsidRPr="00996D3D">
        <w:rPr>
          <w:szCs w:val="24"/>
        </w:rPr>
        <w:t xml:space="preserve">the element </w:t>
      </w:r>
      <w:r w:rsidR="00A76AE1" w:rsidRPr="00863428">
        <w:rPr>
          <w:b/>
          <w:bCs/>
          <w:szCs w:val="24"/>
        </w:rPr>
        <w:t>Name &lt;Nm&gt;</w:t>
      </w:r>
      <w:r w:rsidR="00A76AE1" w:rsidRPr="00996D3D">
        <w:rPr>
          <w:szCs w:val="24"/>
        </w:rPr>
        <w:t xml:space="preserve"> </w:t>
      </w:r>
      <w:r w:rsidR="00847748" w:rsidRPr="00996D3D">
        <w:rPr>
          <w:szCs w:val="24"/>
        </w:rPr>
        <w:t xml:space="preserve">from </w:t>
      </w:r>
      <w:r w:rsidR="00847748" w:rsidRPr="00863428">
        <w:rPr>
          <w:b/>
          <w:bCs/>
          <w:szCs w:val="24"/>
        </w:rPr>
        <w:t>140 characters</w:t>
      </w:r>
      <w:r w:rsidR="00847748" w:rsidRPr="00996D3D">
        <w:rPr>
          <w:szCs w:val="24"/>
        </w:rPr>
        <w:t xml:space="preserve"> to</w:t>
      </w:r>
      <w:r w:rsidR="00847748" w:rsidRPr="00996D3D">
        <w:rPr>
          <w:b/>
          <w:bCs/>
          <w:szCs w:val="24"/>
        </w:rPr>
        <w:t xml:space="preserve"> 150 characters</w:t>
      </w:r>
      <w:r w:rsidR="00996D3D" w:rsidRPr="00863428">
        <w:rPr>
          <w:szCs w:val="24"/>
        </w:rPr>
        <w:t xml:space="preserve"> </w:t>
      </w:r>
      <w:r w:rsidR="00996D3D">
        <w:rPr>
          <w:szCs w:val="24"/>
        </w:rPr>
        <w:t xml:space="preserve">by adopting the </w:t>
      </w:r>
      <w:r w:rsidR="00996D3D" w:rsidRPr="00863428">
        <w:rPr>
          <w:b/>
          <w:bCs/>
          <w:szCs w:val="24"/>
        </w:rPr>
        <w:t>Max150Text</w:t>
      </w:r>
      <w:r w:rsidR="00996D3D">
        <w:rPr>
          <w:szCs w:val="24"/>
        </w:rPr>
        <w:t xml:space="preserve"> datatype</w:t>
      </w:r>
      <w:r w:rsidR="00847748" w:rsidRPr="00996D3D">
        <w:rPr>
          <w:szCs w:val="24"/>
        </w:rPr>
        <w:t xml:space="preserve"> </w:t>
      </w:r>
      <w:r w:rsidR="002D6F46" w:rsidRPr="00996D3D">
        <w:rPr>
          <w:szCs w:val="24"/>
        </w:rPr>
        <w:t xml:space="preserve">in the </w:t>
      </w:r>
      <w:r w:rsidR="00CC4D06" w:rsidRPr="00996D3D">
        <w:rPr>
          <w:bCs/>
          <w:lang w:val="en-GB"/>
        </w:rPr>
        <w:t>pacs</w:t>
      </w:r>
      <w:r w:rsidR="00262E40" w:rsidRPr="00996D3D">
        <w:rPr>
          <w:bCs/>
          <w:lang w:val="en-GB"/>
        </w:rPr>
        <w:t>, pain</w:t>
      </w:r>
      <w:r w:rsidR="00830E6C" w:rsidRPr="00996D3D">
        <w:rPr>
          <w:bCs/>
          <w:lang w:val="en-GB"/>
        </w:rPr>
        <w:t xml:space="preserve"> and</w:t>
      </w:r>
      <w:r w:rsidR="00262E40" w:rsidRPr="00996D3D">
        <w:rPr>
          <w:bCs/>
          <w:lang w:val="en-GB"/>
        </w:rPr>
        <w:t xml:space="preserve"> camt</w:t>
      </w:r>
      <w:r w:rsidR="00F753E3" w:rsidRPr="00996D3D">
        <w:rPr>
          <w:bCs/>
          <w:lang w:val="en-GB"/>
        </w:rPr>
        <w:t xml:space="preserve"> messages</w:t>
      </w:r>
      <w:r w:rsidR="003058C4" w:rsidRPr="00996D3D">
        <w:rPr>
          <w:bCs/>
          <w:lang w:val="en-GB"/>
        </w:rPr>
        <w:t xml:space="preserve"> </w:t>
      </w:r>
      <w:r w:rsidR="00830E6C" w:rsidRPr="00996D3D">
        <w:rPr>
          <w:szCs w:val="24"/>
        </w:rPr>
        <w:t>mentioned in item B</w:t>
      </w:r>
      <w:r w:rsidR="002D6F46" w:rsidRPr="00996D3D">
        <w:rPr>
          <w:szCs w:val="24"/>
        </w:rPr>
        <w:t>.</w:t>
      </w:r>
    </w:p>
    <w:p w14:paraId="673D372B" w14:textId="48722FDA" w:rsidR="00996D3D" w:rsidRPr="00996D3D" w:rsidRDefault="00996D3D" w:rsidP="00863428">
      <w:pPr>
        <w:jc w:val="both"/>
        <w:rPr>
          <w:szCs w:val="24"/>
        </w:rPr>
      </w:pPr>
      <w:r>
        <w:rPr>
          <w:szCs w:val="24"/>
        </w:rPr>
        <w:t>This change is required to allow official names of Brazilian legal entities to be fully conveyed in ISO 20022 messages when such names exceed 140 characters and contain up to 150 characters, in line with the current length applicable to the official Brazilian registry of legal entities.</w:t>
      </w:r>
    </w:p>
    <w:p w14:paraId="687E2F31" w14:textId="77777777" w:rsidR="00CC4D06" w:rsidRPr="00CC4D06" w:rsidRDefault="00CC4D06" w:rsidP="000408BA">
      <w:pPr>
        <w:rPr>
          <w:szCs w:val="24"/>
        </w:rPr>
      </w:pPr>
    </w:p>
    <w:p w14:paraId="3BB91AEE" w14:textId="13659E02"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5229FAE" w14:textId="4A83C1CF" w:rsidR="004E1E2D" w:rsidRPr="004E1E2D" w:rsidRDefault="004E1E2D" w:rsidP="004E1E2D">
      <w:pPr>
        <w:jc w:val="both"/>
        <w:rPr>
          <w:szCs w:val="24"/>
        </w:rPr>
      </w:pPr>
      <w:r w:rsidRPr="004E1E2D">
        <w:rPr>
          <w:szCs w:val="24"/>
        </w:rPr>
        <w:t>The purpose of this change is to allow the official names of Brazilian legal entities to be fully transported in ISO 20022 messages used in the Brazilian instant payment ecosystem.</w:t>
      </w:r>
    </w:p>
    <w:p w14:paraId="2C54AB8E" w14:textId="765D7768" w:rsidR="004E1E2D" w:rsidRPr="004E1E2D" w:rsidRDefault="004E1E2D" w:rsidP="004E1E2D">
      <w:pPr>
        <w:jc w:val="both"/>
        <w:rPr>
          <w:szCs w:val="24"/>
        </w:rPr>
      </w:pPr>
      <w:r w:rsidRPr="004E1E2D">
        <w:rPr>
          <w:szCs w:val="24"/>
        </w:rPr>
        <w:t xml:space="preserve">In Brazil, legal entities are identified through the </w:t>
      </w:r>
      <w:r w:rsidRPr="00863428">
        <w:rPr>
          <w:b/>
          <w:bCs/>
          <w:szCs w:val="24"/>
        </w:rPr>
        <w:t>National Registry of Legal Entities</w:t>
      </w:r>
      <w:r w:rsidRPr="004E1E2D">
        <w:rPr>
          <w:szCs w:val="24"/>
        </w:rPr>
        <w:t xml:space="preserve">, known as </w:t>
      </w:r>
      <w:r w:rsidRPr="00863428">
        <w:rPr>
          <w:b/>
          <w:bCs/>
          <w:szCs w:val="24"/>
        </w:rPr>
        <w:t>CNPJ</w:t>
      </w:r>
      <w:r w:rsidRPr="004E1E2D">
        <w:rPr>
          <w:szCs w:val="24"/>
        </w:rPr>
        <w:t xml:space="preserve"> </w:t>
      </w:r>
      <w:r w:rsidR="00881F5E">
        <w:rPr>
          <w:szCs w:val="24"/>
        </w:rPr>
        <w:t>(</w:t>
      </w:r>
      <w:r w:rsidRPr="004E1E2D">
        <w:rPr>
          <w:szCs w:val="24"/>
        </w:rPr>
        <w:t>Cadastro Nacional d</w:t>
      </w:r>
      <w:r>
        <w:rPr>
          <w:szCs w:val="24"/>
        </w:rPr>
        <w:t>e</w:t>
      </w:r>
      <w:r w:rsidRPr="004E1E2D">
        <w:rPr>
          <w:szCs w:val="24"/>
        </w:rPr>
        <w:t xml:space="preserve"> Pessoa</w:t>
      </w:r>
      <w:r>
        <w:rPr>
          <w:szCs w:val="24"/>
        </w:rPr>
        <w:t>s</w:t>
      </w:r>
      <w:r w:rsidRPr="004E1E2D">
        <w:rPr>
          <w:szCs w:val="24"/>
        </w:rPr>
        <w:t xml:space="preserve"> Jurídica</w:t>
      </w:r>
      <w:r>
        <w:rPr>
          <w:szCs w:val="24"/>
        </w:rPr>
        <w:t>s</w:t>
      </w:r>
      <w:r w:rsidR="00881F5E">
        <w:rPr>
          <w:szCs w:val="24"/>
        </w:rPr>
        <w:t>)</w:t>
      </w:r>
      <w:r w:rsidRPr="004E1E2D">
        <w:rPr>
          <w:szCs w:val="24"/>
        </w:rPr>
        <w:t xml:space="preserve">. The CNPJ is the official national registry of companies and other legal entities in Brazil. It is administered by the </w:t>
      </w:r>
      <w:r w:rsidRPr="00863428">
        <w:rPr>
          <w:b/>
          <w:bCs/>
          <w:szCs w:val="24"/>
        </w:rPr>
        <w:t xml:space="preserve">Brazilian Federal </w:t>
      </w:r>
      <w:r w:rsidRPr="00863428">
        <w:rPr>
          <w:b/>
          <w:bCs/>
          <w:szCs w:val="24"/>
        </w:rPr>
        <w:lastRenderedPageBreak/>
        <w:t>Revenue Service</w:t>
      </w:r>
      <w:r w:rsidRPr="004E1E2D">
        <w:rPr>
          <w:szCs w:val="24"/>
        </w:rPr>
        <w:t xml:space="preserve">, known as </w:t>
      </w:r>
      <w:r w:rsidRPr="00863428">
        <w:rPr>
          <w:b/>
          <w:bCs/>
          <w:szCs w:val="24"/>
        </w:rPr>
        <w:t>RFB</w:t>
      </w:r>
      <w:r w:rsidRPr="004E1E2D">
        <w:rPr>
          <w:szCs w:val="24"/>
        </w:rPr>
        <w:t xml:space="preserve"> </w:t>
      </w:r>
      <w:r w:rsidR="00881F5E">
        <w:rPr>
          <w:szCs w:val="24"/>
        </w:rPr>
        <w:t>(</w:t>
      </w:r>
      <w:r w:rsidRPr="004E1E2D">
        <w:rPr>
          <w:szCs w:val="24"/>
        </w:rPr>
        <w:t>Receita Federal do Brasil</w:t>
      </w:r>
      <w:r w:rsidR="00881F5E">
        <w:rPr>
          <w:szCs w:val="24"/>
        </w:rPr>
        <w:t>)</w:t>
      </w:r>
      <w:r w:rsidRPr="004E1E2D">
        <w:rPr>
          <w:szCs w:val="24"/>
        </w:rPr>
        <w:t>, which is the Brazilian federal tax authority.</w:t>
      </w:r>
    </w:p>
    <w:p w14:paraId="47463C27" w14:textId="77777777" w:rsidR="004E1E2D" w:rsidRPr="004E1E2D" w:rsidRDefault="004E1E2D" w:rsidP="004E1E2D">
      <w:pPr>
        <w:jc w:val="both"/>
        <w:rPr>
          <w:szCs w:val="24"/>
        </w:rPr>
      </w:pPr>
      <w:r w:rsidRPr="00863428">
        <w:rPr>
          <w:b/>
          <w:bCs/>
          <w:szCs w:val="24"/>
        </w:rPr>
        <w:t>RFB Normative Instruction No. 2119</w:t>
      </w:r>
      <w:r w:rsidRPr="004E1E2D">
        <w:rPr>
          <w:szCs w:val="24"/>
        </w:rPr>
        <w:t xml:space="preserve">, dated 6 December 2022, introduced a new requirement for the registration of legal entity information, allowing legal entity names to contain up to </w:t>
      </w:r>
      <w:r w:rsidRPr="00863428">
        <w:rPr>
          <w:b/>
          <w:bCs/>
          <w:szCs w:val="24"/>
        </w:rPr>
        <w:t>150 characters</w:t>
      </w:r>
      <w:r w:rsidRPr="004E1E2D">
        <w:rPr>
          <w:szCs w:val="24"/>
        </w:rPr>
        <w:t>. As a result, systems that rely on the official legal entity name registered in the CNPJ must be able to store, process and transmit that name using the same maximum length.</w:t>
      </w:r>
    </w:p>
    <w:p w14:paraId="6C7E8EA4" w14:textId="77777777" w:rsidR="004E1E2D" w:rsidRPr="004E1E2D" w:rsidRDefault="004E1E2D" w:rsidP="004E1E2D">
      <w:pPr>
        <w:jc w:val="both"/>
        <w:rPr>
          <w:szCs w:val="24"/>
        </w:rPr>
      </w:pPr>
      <w:r w:rsidRPr="004E1E2D">
        <w:rPr>
          <w:szCs w:val="24"/>
        </w:rPr>
        <w:t xml:space="preserve">This requirement affects </w:t>
      </w:r>
      <w:r w:rsidRPr="00863428">
        <w:rPr>
          <w:b/>
          <w:bCs/>
          <w:szCs w:val="24"/>
        </w:rPr>
        <w:t>Pix</w:t>
      </w:r>
      <w:r w:rsidRPr="004E1E2D">
        <w:rPr>
          <w:szCs w:val="24"/>
        </w:rPr>
        <w:t>, the Brazilian instant payment scheme regulated by the Central Bank of Brazil. Pix enables real-time funds transfers between transaction accounts held at different payment service providers. To ensure the correct identification of the parties involved in transactions, certain Pix flows use official registration data maintained by the RFB, including the legal entity name as registered in the CNPJ.</w:t>
      </w:r>
    </w:p>
    <w:p w14:paraId="4E3307B0" w14:textId="77777777" w:rsidR="004E1E2D" w:rsidRPr="004E1E2D" w:rsidRDefault="004E1E2D" w:rsidP="004E1E2D">
      <w:pPr>
        <w:jc w:val="both"/>
        <w:rPr>
          <w:szCs w:val="24"/>
        </w:rPr>
      </w:pPr>
      <w:r w:rsidRPr="004E1E2D">
        <w:rPr>
          <w:szCs w:val="24"/>
        </w:rPr>
        <w:t>Within the Pix ecosystem, two central infrastructures are relevant to this change request:</w:t>
      </w:r>
    </w:p>
    <w:p w14:paraId="16EACEA8" w14:textId="3EF2930B" w:rsidR="004E1E2D" w:rsidRPr="00E80396" w:rsidRDefault="004E1E2D" w:rsidP="00863428">
      <w:pPr>
        <w:pStyle w:val="ListParagraph"/>
        <w:numPr>
          <w:ilvl w:val="0"/>
          <w:numId w:val="20"/>
        </w:numPr>
        <w:jc w:val="both"/>
        <w:rPr>
          <w:szCs w:val="24"/>
        </w:rPr>
      </w:pPr>
      <w:r w:rsidRPr="00863428">
        <w:rPr>
          <w:b/>
          <w:bCs/>
          <w:szCs w:val="24"/>
        </w:rPr>
        <w:t>DICT — Transactional Account Identifier Directory</w:t>
      </w:r>
      <w:r w:rsidR="00E80396" w:rsidRPr="00E80396">
        <w:rPr>
          <w:b/>
          <w:bCs/>
          <w:szCs w:val="24"/>
        </w:rPr>
        <w:t xml:space="preserve">: </w:t>
      </w:r>
      <w:r w:rsidRPr="00E80396">
        <w:rPr>
          <w:szCs w:val="24"/>
        </w:rPr>
        <w:t>DICT is the central directory</w:t>
      </w:r>
      <w:r w:rsidR="00881F5E" w:rsidRPr="00E80396">
        <w:rPr>
          <w:szCs w:val="24"/>
        </w:rPr>
        <w:t xml:space="preserve"> for Pix</w:t>
      </w:r>
      <w:r w:rsidRPr="00E80396">
        <w:rPr>
          <w:szCs w:val="24"/>
        </w:rPr>
        <w:t>, managed and operated by the Central Bank of Brazil, which stores Pix keys and the data associated with those keys. This data includes the name of the holder of the transaction account linked to the Pix key. When the account holder is a legal entity, the name registered in DICT must match the official name recorded in the CNPJ.</w:t>
      </w:r>
    </w:p>
    <w:p w14:paraId="230A1A17" w14:textId="7C91ACF9" w:rsidR="004E1E2D" w:rsidRPr="00E80396" w:rsidRDefault="004E1E2D" w:rsidP="00863428">
      <w:pPr>
        <w:pStyle w:val="ListParagraph"/>
        <w:numPr>
          <w:ilvl w:val="0"/>
          <w:numId w:val="20"/>
        </w:numPr>
        <w:jc w:val="both"/>
        <w:rPr>
          <w:szCs w:val="24"/>
        </w:rPr>
      </w:pPr>
      <w:r w:rsidRPr="00863428">
        <w:rPr>
          <w:b/>
          <w:bCs/>
          <w:szCs w:val="24"/>
        </w:rPr>
        <w:t>SPI — Instant Payments System</w:t>
      </w:r>
      <w:r w:rsidR="00E80396" w:rsidRPr="00E80396">
        <w:rPr>
          <w:b/>
          <w:bCs/>
          <w:szCs w:val="24"/>
        </w:rPr>
        <w:t xml:space="preserve">: </w:t>
      </w:r>
      <w:r w:rsidRPr="00E80396">
        <w:rPr>
          <w:szCs w:val="24"/>
        </w:rPr>
        <w:t>SPI is the centralised settlement infrastructure for Pix, also managed by the Central Bank of Brazil. It is used to settle Pix transactions between different payment service providers.</w:t>
      </w:r>
    </w:p>
    <w:p w14:paraId="559798BB" w14:textId="77777777" w:rsidR="004E1E2D" w:rsidRPr="004E1E2D" w:rsidRDefault="004E1E2D" w:rsidP="004E1E2D">
      <w:pPr>
        <w:jc w:val="both"/>
        <w:rPr>
          <w:szCs w:val="24"/>
        </w:rPr>
      </w:pPr>
      <w:r w:rsidRPr="004E1E2D">
        <w:rPr>
          <w:szCs w:val="24"/>
        </w:rPr>
        <w:t>In this context, Pix is the payment scheme, DICT supports the identification of transaction account holders through Pix keys, and SPI performs the settlement of transactions between participants in the scheme.</w:t>
      </w:r>
    </w:p>
    <w:p w14:paraId="33CB1680" w14:textId="77777777" w:rsidR="004E1E2D" w:rsidRPr="004E1E2D" w:rsidRDefault="004E1E2D" w:rsidP="004E1E2D">
      <w:pPr>
        <w:jc w:val="both"/>
        <w:rPr>
          <w:szCs w:val="24"/>
        </w:rPr>
      </w:pPr>
      <w:r w:rsidRPr="004E1E2D">
        <w:rPr>
          <w:szCs w:val="24"/>
        </w:rPr>
        <w:t>In 2025, additional operational rules were specified to strengthen security and fraud prevention in Pix. These rules require greater consistency between the names used within the Pix ecosystem and the official records maintained by the RFB. For legal entities, this means that the name associated with a Pix key must be filled in exactly as it appears in the CNPJ.</w:t>
      </w:r>
    </w:p>
    <w:p w14:paraId="112AFACE" w14:textId="77777777" w:rsidR="004E1E2D" w:rsidRPr="004E1E2D" w:rsidRDefault="004E1E2D" w:rsidP="004E1E2D">
      <w:pPr>
        <w:jc w:val="both"/>
        <w:rPr>
          <w:szCs w:val="24"/>
        </w:rPr>
      </w:pPr>
      <w:r w:rsidRPr="004E1E2D">
        <w:rPr>
          <w:szCs w:val="24"/>
        </w:rPr>
        <w:t xml:space="preserve">Since the CNPJ now allows legal entity names of up to 150 characters, the current 140-character limit of the ISO 20022 element </w:t>
      </w:r>
      <w:r w:rsidRPr="00863428">
        <w:rPr>
          <w:b/>
          <w:bCs/>
          <w:szCs w:val="24"/>
        </w:rPr>
        <w:t>Name &lt;Nm&gt;</w:t>
      </w:r>
      <w:r w:rsidRPr="004E1E2D">
        <w:rPr>
          <w:szCs w:val="24"/>
        </w:rPr>
        <w:t xml:space="preserve"> may prevent the full transmission of the official name in ISO 20022 messages. When the official name contains between 141 and 150 characters, a field limited to 140 characters may result in truncation and in a mismatch between the data conveyed in the message and the official data registered with the RFB.</w:t>
      </w:r>
    </w:p>
    <w:p w14:paraId="38E45D32" w14:textId="77777777" w:rsidR="004E1E2D" w:rsidRPr="004E1E2D" w:rsidRDefault="004E1E2D" w:rsidP="004E1E2D">
      <w:pPr>
        <w:jc w:val="both"/>
        <w:rPr>
          <w:szCs w:val="24"/>
        </w:rPr>
      </w:pPr>
      <w:r w:rsidRPr="004E1E2D">
        <w:rPr>
          <w:szCs w:val="24"/>
        </w:rPr>
        <w:t xml:space="preserve">This requirement also applies to </w:t>
      </w:r>
      <w:r w:rsidRPr="00863428">
        <w:rPr>
          <w:b/>
          <w:bCs/>
          <w:szCs w:val="24"/>
        </w:rPr>
        <w:t>Automatic Pix</w:t>
      </w:r>
      <w:r w:rsidRPr="004E1E2D">
        <w:rPr>
          <w:szCs w:val="24"/>
        </w:rPr>
        <w:t>, a payment service in which Pix payments are initiated from the payer’s transaction account on the basis of recurring payment instructions received from the payee’s payment service provider, subject to the payer’s prior and specific authorisation.</w:t>
      </w:r>
    </w:p>
    <w:p w14:paraId="2BD80F06" w14:textId="3551E2F2" w:rsidR="004E1E2D" w:rsidRPr="004E1E2D" w:rsidRDefault="004E1E2D" w:rsidP="004E1E2D">
      <w:pPr>
        <w:jc w:val="both"/>
        <w:rPr>
          <w:szCs w:val="24"/>
        </w:rPr>
      </w:pPr>
      <w:r w:rsidRPr="004E1E2D">
        <w:rPr>
          <w:szCs w:val="24"/>
        </w:rPr>
        <w:t>In flows related to Automatic Pix, payment service providers must use the information contained in the CNPJ, as registered with the RFB, to fill in the identification fields of the payee and the ultimate debtor in payment instructions. Therefore,</w:t>
      </w:r>
      <w:r w:rsidR="000F4554">
        <w:rPr>
          <w:szCs w:val="24"/>
        </w:rPr>
        <w:t xml:space="preserve"> the pain.009, pain.011, pain.012 e pain.013, used for Automatic Pix,</w:t>
      </w:r>
      <w:r w:rsidRPr="004E1E2D">
        <w:rPr>
          <w:szCs w:val="24"/>
        </w:rPr>
        <w:t xml:space="preserve"> the name fields for the payee and the ultimate debtor must allow the complete legal entity name to be provided exactly as registered in the CNPJ, including when that name contains up to 150 characters.</w:t>
      </w:r>
    </w:p>
    <w:p w14:paraId="1AC51413" w14:textId="77777777" w:rsidR="004E1E2D" w:rsidRPr="004E1E2D" w:rsidRDefault="004E1E2D" w:rsidP="004E1E2D">
      <w:pPr>
        <w:jc w:val="both"/>
        <w:rPr>
          <w:szCs w:val="24"/>
        </w:rPr>
      </w:pPr>
      <w:r w:rsidRPr="004E1E2D">
        <w:rPr>
          <w:szCs w:val="24"/>
        </w:rPr>
        <w:lastRenderedPageBreak/>
        <w:t xml:space="preserve">The same requirement applies to settlement messages used in SPI. The </w:t>
      </w:r>
      <w:r w:rsidRPr="00863428">
        <w:rPr>
          <w:b/>
          <w:bCs/>
          <w:szCs w:val="24"/>
        </w:rPr>
        <w:t>pacs.008</w:t>
      </w:r>
      <w:r w:rsidRPr="004E1E2D">
        <w:rPr>
          <w:szCs w:val="24"/>
        </w:rPr>
        <w:t xml:space="preserve"> message, used for the settlement of Pix transactions between different payment service providers, must allow the payer’s name to be provided in full, as registered in the CNPJ, when the payer is a legal entity.</w:t>
      </w:r>
    </w:p>
    <w:p w14:paraId="159FEDE7" w14:textId="4135574E" w:rsidR="004E1E2D" w:rsidRPr="004E1E2D" w:rsidRDefault="004E1E2D" w:rsidP="004E1E2D">
      <w:pPr>
        <w:jc w:val="both"/>
        <w:rPr>
          <w:szCs w:val="24"/>
        </w:rPr>
      </w:pPr>
      <w:r w:rsidRPr="004E1E2D">
        <w:rPr>
          <w:szCs w:val="24"/>
        </w:rPr>
        <w:t xml:space="preserve">Therefore, in order to ensure consistency between the official RFB registry, the data registered in DICT, the Automatic Pix flows and the settlement messages processed in SPI, it is necessary to increase the limit of the relevant name fields from 140 to 150 characters, by adopting the type </w:t>
      </w:r>
      <w:r w:rsidR="00881F5E" w:rsidRPr="00863428">
        <w:rPr>
          <w:b/>
          <w:bCs/>
          <w:szCs w:val="24"/>
        </w:rPr>
        <w:t>Max</w:t>
      </w:r>
      <w:r w:rsidRPr="00863428">
        <w:rPr>
          <w:b/>
          <w:bCs/>
          <w:szCs w:val="24"/>
        </w:rPr>
        <w:t>150Text</w:t>
      </w:r>
      <w:r w:rsidRPr="004E1E2D">
        <w:rPr>
          <w:szCs w:val="24"/>
        </w:rPr>
        <w:t>.</w:t>
      </w:r>
    </w:p>
    <w:p w14:paraId="7DF6386C" w14:textId="337677F5" w:rsidR="00996D3D" w:rsidRDefault="004E1E2D" w:rsidP="004E1E2D">
      <w:pPr>
        <w:jc w:val="both"/>
        <w:rPr>
          <w:szCs w:val="24"/>
        </w:rPr>
      </w:pPr>
      <w:r w:rsidRPr="004E1E2D">
        <w:rPr>
          <w:szCs w:val="24"/>
        </w:rPr>
        <w:t>This change will allow the official names of Brazilian legal entities to be fully conveyed in the applicable ISO 20022 messages, avoiding truncation and reducing the risk of registration data inconsistencies between the systems involved in the Pix ecosystem.</w:t>
      </w:r>
    </w:p>
    <w:p w14:paraId="4D7965BC" w14:textId="66B5F8E2" w:rsidR="00996D3D" w:rsidRPr="00603651" w:rsidRDefault="00996D3D" w:rsidP="00603651">
      <w:pPr>
        <w:jc w:val="both"/>
        <w:rPr>
          <w:szCs w:val="24"/>
        </w:rPr>
      </w:pPr>
    </w:p>
    <w:p w14:paraId="41294612" w14:textId="53217B65"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08E484F" w14:textId="095DED5E" w:rsidR="00881F5E" w:rsidRPr="00881F5E" w:rsidRDefault="00E80396" w:rsidP="00881F5E">
      <w:pPr>
        <w:jc w:val="both"/>
        <w:rPr>
          <w:szCs w:val="24"/>
        </w:rPr>
      </w:pPr>
      <w:r>
        <w:rPr>
          <w:szCs w:val="24"/>
        </w:rPr>
        <w:t xml:space="preserve">We </w:t>
      </w:r>
      <w:r w:rsidR="00881F5E" w:rsidRPr="00881F5E">
        <w:rPr>
          <w:szCs w:val="24"/>
        </w:rPr>
        <w:t xml:space="preserve">request that this change be considered for the next ISO 20022 yearly maintenance cycle, corresponding to the </w:t>
      </w:r>
      <w:r w:rsidR="00881F5E" w:rsidRPr="00863428">
        <w:rPr>
          <w:b/>
          <w:bCs/>
          <w:szCs w:val="24"/>
        </w:rPr>
        <w:t>2026/2027 cycle</w:t>
      </w:r>
      <w:r w:rsidR="00881F5E" w:rsidRPr="00881F5E">
        <w:rPr>
          <w:szCs w:val="24"/>
        </w:rPr>
        <w:t>.</w:t>
      </w:r>
    </w:p>
    <w:p w14:paraId="2D78CBE0" w14:textId="3C04F0BB" w:rsidR="00881F5E" w:rsidRPr="00881F5E" w:rsidRDefault="00881F5E" w:rsidP="00881F5E">
      <w:pPr>
        <w:jc w:val="both"/>
        <w:rPr>
          <w:szCs w:val="24"/>
        </w:rPr>
      </w:pPr>
      <w:r w:rsidRPr="00881F5E">
        <w:rPr>
          <w:szCs w:val="24"/>
        </w:rPr>
        <w:t>Th</w:t>
      </w:r>
      <w:r w:rsidR="00E80396">
        <w:rPr>
          <w:szCs w:val="24"/>
        </w:rPr>
        <w:t>is</w:t>
      </w:r>
      <w:r w:rsidRPr="00881F5E">
        <w:rPr>
          <w:szCs w:val="24"/>
        </w:rPr>
        <w:t xml:space="preserve"> change is required to align the ISO 20022 messages used in the Brazilian instant payments ecosystem with the 150-character limit applicable to legal entity names in the official registry maintained by the Brazilian Federal Revenue Service.</w:t>
      </w:r>
    </w:p>
    <w:p w14:paraId="475D3012" w14:textId="0E322DAA" w:rsidR="00881F5E" w:rsidRDefault="00881F5E" w:rsidP="00881F5E">
      <w:pPr>
        <w:jc w:val="both"/>
        <w:rPr>
          <w:szCs w:val="24"/>
        </w:rPr>
      </w:pPr>
      <w:r w:rsidRPr="00881F5E">
        <w:rPr>
          <w:szCs w:val="24"/>
        </w:rPr>
        <w:t>Implementation in the 2026/2027 cycle will allow Pix participants to maintain consistency between the official CNPJ data, the records maintained in DICT, the Automatic Pix flows and the settlement messages processed in SPI.</w:t>
      </w:r>
    </w:p>
    <w:p w14:paraId="16387BC1" w14:textId="324FB564" w:rsidR="00783891" w:rsidRPr="001962EB" w:rsidRDefault="00FE3E47" w:rsidP="001962EB">
      <w:pPr>
        <w:pStyle w:val="ListParagraph"/>
        <w:numPr>
          <w:ilvl w:val="0"/>
          <w:numId w:val="6"/>
        </w:numPr>
        <w:spacing w:before="0"/>
        <w:rPr>
          <w:szCs w:val="24"/>
          <w:lang w:val="en-GB"/>
        </w:rPr>
      </w:pPr>
      <w:r w:rsidRPr="001962EB">
        <w:rPr>
          <w:b/>
          <w:szCs w:val="24"/>
          <w:lang w:val="en-GB"/>
        </w:rPr>
        <w:br w:type="page"/>
      </w:r>
      <w:r w:rsidR="00FF4AEF" w:rsidRPr="001962EB">
        <w:rPr>
          <w:b/>
          <w:szCs w:val="24"/>
          <w:lang w:val="en-GB"/>
        </w:rPr>
        <w:lastRenderedPageBreak/>
        <w:t>Business examples</w:t>
      </w:r>
      <w:r w:rsidR="00783891" w:rsidRPr="001962EB">
        <w:rPr>
          <w:b/>
          <w:szCs w:val="24"/>
          <w:lang w:val="en-GB"/>
        </w:rPr>
        <w:t>:</w:t>
      </w:r>
    </w:p>
    <w:p w14:paraId="6924A373" w14:textId="1B0CF646" w:rsidR="00897D79" w:rsidRDefault="009D231C" w:rsidP="00897D79">
      <w:pPr>
        <w:jc w:val="both"/>
        <w:rPr>
          <w:b/>
          <w:lang w:val="en-GB"/>
        </w:rPr>
      </w:pPr>
      <w:r>
        <w:rPr>
          <w:b/>
          <w:noProof/>
          <w:lang w:val="en-GB"/>
        </w:rPr>
        <w:drawing>
          <wp:inline distT="0" distB="0" distL="0" distR="0" wp14:anchorId="4604E58D" wp14:editId="226E4B4A">
            <wp:extent cx="5701030" cy="4376420"/>
            <wp:effectExtent l="0" t="0" r="0" b="5080"/>
            <wp:docPr id="1036849101" name="Imagem 1"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49101" name="Imagem 1" descr="Diagrama"/>
                    <pic:cNvPicPr/>
                  </pic:nvPicPr>
                  <pic:blipFill>
                    <a:blip r:embed="rId13">
                      <a:extLst>
                        <a:ext uri="{28A0092B-C50C-407E-A947-70E740481C1C}">
                          <a14:useLocalDpi xmlns:a14="http://schemas.microsoft.com/office/drawing/2010/main" val="0"/>
                        </a:ext>
                      </a:extLst>
                    </a:blip>
                    <a:stretch>
                      <a:fillRect/>
                    </a:stretch>
                  </pic:blipFill>
                  <pic:spPr>
                    <a:xfrm>
                      <a:off x="0" y="0"/>
                      <a:ext cx="5701030" cy="4376420"/>
                    </a:xfrm>
                    <a:prstGeom prst="rect">
                      <a:avLst/>
                    </a:prstGeom>
                  </pic:spPr>
                </pic:pic>
              </a:graphicData>
            </a:graphic>
          </wp:inline>
        </w:drawing>
      </w:r>
    </w:p>
    <w:p w14:paraId="40F0D921" w14:textId="194851DC" w:rsidR="00897D79" w:rsidRPr="00601371" w:rsidRDefault="00897D79" w:rsidP="00897D79">
      <w:pPr>
        <w:spacing w:before="0"/>
        <w:jc w:val="both"/>
        <w:rPr>
          <w:bCs/>
          <w:sz w:val="16"/>
          <w:szCs w:val="16"/>
          <w:lang w:val="en-GB"/>
        </w:rPr>
      </w:pPr>
      <w:r w:rsidRPr="00601371">
        <w:rPr>
          <w:bCs/>
          <w:sz w:val="16"/>
          <w:szCs w:val="16"/>
          <w:lang w:val="en-GB"/>
        </w:rPr>
        <w:t xml:space="preserve">Source: </w:t>
      </w:r>
      <w:r w:rsidR="00601371" w:rsidRPr="00601371">
        <w:rPr>
          <w:bCs/>
          <w:sz w:val="16"/>
          <w:szCs w:val="16"/>
          <w:lang w:val="en-GB"/>
        </w:rPr>
        <w:t>Central Bank of Brazil</w:t>
      </w:r>
    </w:p>
    <w:p w14:paraId="4C91934F" w14:textId="051D3BB3" w:rsidR="00E80396" w:rsidRDefault="00E80396" w:rsidP="00CF61BE">
      <w:pPr>
        <w:jc w:val="both"/>
      </w:pPr>
      <w:r w:rsidRPr="00863428">
        <w:rPr>
          <w:b/>
          <w:bCs/>
        </w:rPr>
        <w:t>Pix</w:t>
      </w:r>
      <w:r w:rsidRPr="00E80396">
        <w:t xml:space="preserve"> is the Brazilian instant payment scheme regulated by the Central Bank of Brazil. It enables real-time funds transfers between transaction accounts held at different payment service providers.</w:t>
      </w:r>
    </w:p>
    <w:p w14:paraId="777356BC" w14:textId="77777777" w:rsidR="00E80396" w:rsidRDefault="00E80396" w:rsidP="00E80396">
      <w:pPr>
        <w:jc w:val="both"/>
      </w:pPr>
      <w:r>
        <w:t>For its operation, Pix relies on two central infrastructures managed by the Central Bank of Brazil:</w:t>
      </w:r>
    </w:p>
    <w:p w14:paraId="2BB8A6A5" w14:textId="6E0B3F9D" w:rsidR="00E80396" w:rsidRDefault="00E80396" w:rsidP="00863428">
      <w:pPr>
        <w:pStyle w:val="ListParagraph"/>
        <w:numPr>
          <w:ilvl w:val="0"/>
          <w:numId w:val="19"/>
        </w:numPr>
        <w:jc w:val="both"/>
      </w:pPr>
      <w:r w:rsidRPr="00863428">
        <w:rPr>
          <w:b/>
          <w:bCs/>
        </w:rPr>
        <w:t>DICT — Transactional Account Identifier Directory</w:t>
      </w:r>
      <w:r w:rsidRPr="00E80396">
        <w:rPr>
          <w:b/>
          <w:bCs/>
        </w:rPr>
        <w:t xml:space="preserve">: </w:t>
      </w:r>
      <w:r>
        <w:t>DICT is the central directory that stores Pix keys and the data associated with those keys, including identification information related to the holders of transaction accounts. For legal entities, the name associated with the Pix key must match the official name registered in the CNPJ.</w:t>
      </w:r>
    </w:p>
    <w:p w14:paraId="0A17BF42" w14:textId="29FCABF5" w:rsidR="00E80396" w:rsidRDefault="00E80396" w:rsidP="00863428">
      <w:pPr>
        <w:pStyle w:val="ListParagraph"/>
        <w:numPr>
          <w:ilvl w:val="0"/>
          <w:numId w:val="19"/>
        </w:numPr>
        <w:jc w:val="both"/>
      </w:pPr>
      <w:r w:rsidRPr="00863428">
        <w:rPr>
          <w:b/>
          <w:bCs/>
        </w:rPr>
        <w:t>SPI — Instant Payments System</w:t>
      </w:r>
      <w:r w:rsidRPr="00E80396">
        <w:rPr>
          <w:b/>
          <w:bCs/>
        </w:rPr>
        <w:t xml:space="preserve">: </w:t>
      </w:r>
      <w:r>
        <w:t>SPI is the centralised settlement infrastructure for Pix, used to settle transactions between participants.</w:t>
      </w:r>
    </w:p>
    <w:p w14:paraId="06938F22" w14:textId="4C10F522" w:rsidR="00E80396" w:rsidRDefault="00E80396" w:rsidP="00E80396">
      <w:pPr>
        <w:jc w:val="both"/>
      </w:pPr>
      <w:r>
        <w:t>In simplified terms, Pix is the payment scheme; DICT supports the identification of transaction account holders through Pix keys; and SPI performs the settlement of transactions between participants in the scheme.</w:t>
      </w:r>
    </w:p>
    <w:p w14:paraId="37C1204E" w14:textId="3A3814F0" w:rsidR="00CF61BE" w:rsidRPr="00CF61BE" w:rsidRDefault="00E80396" w:rsidP="00CF61BE">
      <w:pPr>
        <w:jc w:val="both"/>
        <w:rPr>
          <w:bCs/>
          <w:lang w:val="en-GB"/>
        </w:rPr>
      </w:pPr>
      <w:r w:rsidRPr="00E80396">
        <w:t>Pix participants may act as direct or indirect participants in SPI:</w:t>
      </w:r>
    </w:p>
    <w:p w14:paraId="07011B31" w14:textId="2A4034E5" w:rsidR="00CF61BE" w:rsidRPr="00CF61BE" w:rsidRDefault="00CF61BE" w:rsidP="00CF61BE">
      <w:pPr>
        <w:numPr>
          <w:ilvl w:val="0"/>
          <w:numId w:val="18"/>
        </w:numPr>
        <w:jc w:val="both"/>
      </w:pPr>
      <w:r w:rsidRPr="00863428">
        <w:rPr>
          <w:b/>
          <w:bCs/>
        </w:rPr>
        <w:t>Direct participants</w:t>
      </w:r>
      <w:r w:rsidRPr="00CF61BE">
        <w:t xml:space="preserve"> settle Pix transactions directly in the SPI: commercial banks, multiple banks with a commercial portfolio and saving banks that</w:t>
      </w:r>
      <w:r w:rsidR="00E80396">
        <w:t xml:space="preserve"> participate in</w:t>
      </w:r>
      <w:r w:rsidRPr="00CF61BE">
        <w:t xml:space="preserve"> Pix must be direct </w:t>
      </w:r>
      <w:r w:rsidR="00E80396">
        <w:t xml:space="preserve">participants in </w:t>
      </w:r>
      <w:r w:rsidRPr="00CF61BE">
        <w:t xml:space="preserve">SPI. </w:t>
      </w:r>
      <w:r w:rsidR="00E80396">
        <w:t>O</w:t>
      </w:r>
      <w:r w:rsidRPr="00CF61BE">
        <w:t>ther institutions authori</w:t>
      </w:r>
      <w:r w:rsidR="00E80396">
        <w:t>s</w:t>
      </w:r>
      <w:r w:rsidRPr="00CF61BE">
        <w:t xml:space="preserve">ed to operate by </w:t>
      </w:r>
      <w:r w:rsidR="00E80396">
        <w:t xml:space="preserve">the Central Bank of Brazil </w:t>
      </w:r>
      <w:r w:rsidRPr="00CF61BE">
        <w:t>may choose to be direct or indirect participants in the SPI.</w:t>
      </w:r>
    </w:p>
    <w:p w14:paraId="507CEBE2" w14:textId="6FDCC74E" w:rsidR="00CF61BE" w:rsidRPr="00CF61BE" w:rsidRDefault="00CF61BE" w:rsidP="00CF61BE">
      <w:pPr>
        <w:numPr>
          <w:ilvl w:val="0"/>
          <w:numId w:val="18"/>
        </w:numPr>
        <w:jc w:val="both"/>
      </w:pPr>
      <w:r w:rsidRPr="00863428">
        <w:rPr>
          <w:b/>
          <w:bCs/>
        </w:rPr>
        <w:lastRenderedPageBreak/>
        <w:t>Indirect participants</w:t>
      </w:r>
      <w:r w:rsidRPr="00CF61BE">
        <w:t xml:space="preserve"> </w:t>
      </w:r>
      <w:r w:rsidR="00E80396">
        <w:t xml:space="preserve">have </w:t>
      </w:r>
      <w:r w:rsidRPr="00CF61BE">
        <w:t xml:space="preserve">their Pix transactions settled through a direct participant or a special settlement agent. Payment institutions not regulated by </w:t>
      </w:r>
      <w:r w:rsidR="00E80396">
        <w:t xml:space="preserve">the Central Bank of Brazil, when participating in Pix, </w:t>
      </w:r>
      <w:r w:rsidRPr="00CF61BE">
        <w:t xml:space="preserve">must necessarily be indirect participants in </w:t>
      </w:r>
      <w:r w:rsidR="00E80396">
        <w:t xml:space="preserve">the </w:t>
      </w:r>
      <w:r w:rsidRPr="00CF61BE">
        <w:t>SPI.</w:t>
      </w:r>
    </w:p>
    <w:p w14:paraId="7219D31B" w14:textId="2EEBCEDA" w:rsidR="00E27CBC" w:rsidRDefault="00E27CBC" w:rsidP="00E80396">
      <w:pPr>
        <w:jc w:val="both"/>
        <w:rPr>
          <w:bCs/>
        </w:rPr>
      </w:pPr>
      <w:r w:rsidRPr="00E80396">
        <w:rPr>
          <w:bCs/>
        </w:rPr>
        <w:t xml:space="preserve">Pix participants </w:t>
      </w:r>
      <w:r w:rsidR="00E80396">
        <w:rPr>
          <w:bCs/>
        </w:rPr>
        <w:t xml:space="preserve">also need to </w:t>
      </w:r>
      <w:r w:rsidRPr="00E80396">
        <w:rPr>
          <w:bCs/>
        </w:rPr>
        <w:t>access DICT</w:t>
      </w:r>
      <w:r w:rsidR="00E80396">
        <w:rPr>
          <w:bCs/>
        </w:rPr>
        <w:t>.</w:t>
      </w:r>
      <w:r w:rsidRPr="00E80396">
        <w:rPr>
          <w:bCs/>
        </w:rPr>
        <w:t xml:space="preserve"> </w:t>
      </w:r>
      <w:r w:rsidR="00E80396">
        <w:rPr>
          <w:bCs/>
        </w:rPr>
        <w:t xml:space="preserve">Direct participants in SPI may access DICT </w:t>
      </w:r>
      <w:r w:rsidRPr="00E80396">
        <w:rPr>
          <w:bCs/>
        </w:rPr>
        <w:t>directly</w:t>
      </w:r>
      <w:r w:rsidR="00E80396">
        <w:rPr>
          <w:bCs/>
        </w:rPr>
        <w:t>.</w:t>
      </w:r>
      <w:r w:rsidRPr="00E80396">
        <w:rPr>
          <w:bCs/>
        </w:rPr>
        <w:t xml:space="preserve"> Institutions not authori</w:t>
      </w:r>
      <w:r w:rsidR="00E80396">
        <w:rPr>
          <w:bCs/>
        </w:rPr>
        <w:t>s</w:t>
      </w:r>
      <w:r w:rsidRPr="00E80396">
        <w:rPr>
          <w:bCs/>
        </w:rPr>
        <w:t xml:space="preserve">ed by </w:t>
      </w:r>
      <w:r w:rsidR="00E80396">
        <w:rPr>
          <w:bCs/>
        </w:rPr>
        <w:t xml:space="preserve">the Central Bank of Brazil </w:t>
      </w:r>
      <w:r w:rsidRPr="00E80396">
        <w:rPr>
          <w:bCs/>
        </w:rPr>
        <w:t>must a</w:t>
      </w:r>
      <w:r w:rsidR="00E80396">
        <w:rPr>
          <w:bCs/>
        </w:rPr>
        <w:t>c</w:t>
      </w:r>
      <w:r w:rsidRPr="00E80396">
        <w:rPr>
          <w:bCs/>
        </w:rPr>
        <w:t>cess DICT indirectly</w:t>
      </w:r>
      <w:r w:rsidR="00E80396">
        <w:rPr>
          <w:bCs/>
        </w:rPr>
        <w:t>, through an agreement with a Pix participant that has direct access to DICT.</w:t>
      </w:r>
    </w:p>
    <w:p w14:paraId="2C18E778" w14:textId="00B779F4" w:rsidR="00E80396" w:rsidRPr="00E80396" w:rsidRDefault="00E80396" w:rsidP="00863428">
      <w:pPr>
        <w:jc w:val="both"/>
        <w:rPr>
          <w:bCs/>
          <w:lang w:val="en-GB"/>
        </w:rPr>
      </w:pPr>
      <w:r w:rsidRPr="00E80396">
        <w:rPr>
          <w:bCs/>
          <w:lang w:val="en-GB"/>
        </w:rPr>
        <w:t xml:space="preserve">In this context, consistency between the names registered in the CNPJ, the names stored in DICT and the names conveyed in the ISO 20022 messages used in Pix flows is essential. When the official name of a Brazilian legal entity contains between 141 and 150 characters, the current 140-character limit of the element </w:t>
      </w:r>
      <w:r w:rsidRPr="00863428">
        <w:rPr>
          <w:b/>
          <w:lang w:val="en-GB"/>
        </w:rPr>
        <w:t>Name &lt;Nm&gt;</w:t>
      </w:r>
      <w:r w:rsidRPr="00E80396">
        <w:rPr>
          <w:bCs/>
          <w:lang w:val="en-GB"/>
        </w:rPr>
        <w:t xml:space="preserve"> prevents the full transmission of the name. For this reason, the limit needs to be increased to 150 characters.</w:t>
      </w:r>
    </w:p>
    <w:p w14:paraId="0717FE85" w14:textId="61A4DE0C" w:rsidR="006155A3" w:rsidRPr="00043465" w:rsidRDefault="006155A3" w:rsidP="006155A3">
      <w:pPr>
        <w:jc w:val="both"/>
      </w:pPr>
    </w:p>
    <w:p w14:paraId="151459B7" w14:textId="732254B1"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ED7076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F6ED7">
              <w:rPr>
                <w:b/>
                <w:szCs w:val="24"/>
                <w:lang w:val="en-GB"/>
              </w:rPr>
              <w:t>6</w:t>
            </w:r>
            <w:r>
              <w:rPr>
                <w:b/>
                <w:szCs w:val="24"/>
                <w:lang w:val="en-GB"/>
              </w:rPr>
              <w:t>/20</w:t>
            </w:r>
            <w:r w:rsidR="00B43BED">
              <w:rPr>
                <w:b/>
                <w:szCs w:val="24"/>
                <w:lang w:val="en-GB"/>
              </w:rPr>
              <w:t>2</w:t>
            </w:r>
            <w:r w:rsidR="006F6ED7">
              <w:rPr>
                <w:b/>
                <w:szCs w:val="24"/>
                <w:lang w:val="en-GB"/>
              </w:rPr>
              <w:t>7</w:t>
            </w:r>
          </w:p>
          <w:p w14:paraId="0A1397DE" w14:textId="05AF6A9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6F6ED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F6ED7">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F724" w14:textId="77777777" w:rsidR="003D11CA" w:rsidRDefault="003D11CA">
      <w:r>
        <w:separator/>
      </w:r>
    </w:p>
  </w:endnote>
  <w:endnote w:type="continuationSeparator" w:id="0">
    <w:p w14:paraId="5B953582" w14:textId="77777777" w:rsidR="003D11CA" w:rsidRDefault="003D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DCB" w14:textId="4964C6BE" w:rsidR="00AD06DF" w:rsidRDefault="00AD06DF" w:rsidP="00AD06DF">
    <w:pPr>
      <w:pStyle w:val="Footer"/>
    </w:pPr>
    <w:r>
      <w:t xml:space="preserve"> CR1626_BCB_IncreaseLengthOfNameElement_v1.docx       Produced by Central Bank of Brazil</w:t>
    </w:r>
    <w:proofErr w:type="gramStart"/>
    <w:r>
      <w:tab/>
      <w:t xml:space="preserve">  Page</w:t>
    </w:r>
    <w:proofErr w:type="gramEnd"/>
    <w:r>
      <w:t xml:space="preserve"> </w:t>
    </w:r>
    <w:sdt>
      <w:sdtPr>
        <w:id w:val="-1501267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86439D" w14:textId="19D2EDBE" w:rsidR="00567F13" w:rsidRPr="00AC1446" w:rsidRDefault="00567F13" w:rsidP="00BF7935">
    <w:pPr>
      <w:jc w:val="both"/>
      <w:rPr>
        <w:sz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A1C0" w14:textId="77777777" w:rsidR="003D11CA" w:rsidRDefault="003D11CA">
      <w:r>
        <w:separator/>
      </w:r>
    </w:p>
  </w:footnote>
  <w:footnote w:type="continuationSeparator" w:id="0">
    <w:p w14:paraId="0341646C" w14:textId="77777777" w:rsidR="003D11CA" w:rsidRDefault="003D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2FDB6E0" w:rsidR="00E74C04" w:rsidRPr="00801493" w:rsidRDefault="00801493">
    <w:pPr>
      <w:pStyle w:val="Header"/>
      <w:rPr>
        <w:lang w:val="fr-BE"/>
      </w:rPr>
    </w:pPr>
    <w:r>
      <w:rPr>
        <w:lang w:val="fr-BE"/>
      </w:rPr>
      <w:t xml:space="preserve">RA ID : </w:t>
    </w:r>
    <w:r w:rsidR="00AD06DF">
      <w:rPr>
        <w:lang w:val="fr-BE"/>
      </w:rPr>
      <w:t>CR1626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6042C3"/>
    <w:multiLevelType w:val="hybridMultilevel"/>
    <w:tmpl w:val="D9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1D4944"/>
    <w:multiLevelType w:val="hybridMultilevel"/>
    <w:tmpl w:val="0B1C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54DBE"/>
    <w:multiLevelType w:val="multilevel"/>
    <w:tmpl w:val="4B5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E02F1"/>
    <w:multiLevelType w:val="hybridMultilevel"/>
    <w:tmpl w:val="427CE554"/>
    <w:lvl w:ilvl="0" w:tplc="FFC6FE24">
      <w:numFmt w:val="bullet"/>
      <w:lvlText w:val="-"/>
      <w:lvlJc w:val="left"/>
      <w:pPr>
        <w:ind w:left="360" w:hanging="360"/>
      </w:pPr>
      <w:rPr>
        <w:rFonts w:ascii="Times New Roman" w:eastAsia="Times" w:hAnsi="Times New Roman"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9"/>
  </w:num>
  <w:num w:numId="7" w16cid:durableId="728386006">
    <w:abstractNumId w:val="12"/>
  </w:num>
  <w:num w:numId="8" w16cid:durableId="1187863317">
    <w:abstractNumId w:val="10"/>
  </w:num>
  <w:num w:numId="9" w16cid:durableId="1549537704">
    <w:abstractNumId w:val="18"/>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6"/>
  </w:num>
  <w:num w:numId="16" w16cid:durableId="222108804">
    <w:abstractNumId w:val="13"/>
  </w:num>
  <w:num w:numId="17" w16cid:durableId="1834494681">
    <w:abstractNumId w:val="17"/>
  </w:num>
  <w:num w:numId="18" w16cid:durableId="1926644951">
    <w:abstractNumId w:val="15"/>
  </w:num>
  <w:num w:numId="19" w16cid:durableId="690374253">
    <w:abstractNumId w:val="8"/>
  </w:num>
  <w:num w:numId="20" w16cid:durableId="1026249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6D7"/>
    <w:rsid w:val="000026F5"/>
    <w:rsid w:val="000066F2"/>
    <w:rsid w:val="00007451"/>
    <w:rsid w:val="000127ED"/>
    <w:rsid w:val="00016D3F"/>
    <w:rsid w:val="00021002"/>
    <w:rsid w:val="00021C86"/>
    <w:rsid w:val="0003395A"/>
    <w:rsid w:val="00034520"/>
    <w:rsid w:val="00036BC7"/>
    <w:rsid w:val="000408BA"/>
    <w:rsid w:val="00041661"/>
    <w:rsid w:val="00043465"/>
    <w:rsid w:val="00046F03"/>
    <w:rsid w:val="0005214C"/>
    <w:rsid w:val="00052E80"/>
    <w:rsid w:val="000558EF"/>
    <w:rsid w:val="0006293F"/>
    <w:rsid w:val="00065590"/>
    <w:rsid w:val="000678E4"/>
    <w:rsid w:val="00070308"/>
    <w:rsid w:val="00080D3A"/>
    <w:rsid w:val="000823AA"/>
    <w:rsid w:val="00082743"/>
    <w:rsid w:val="000837C7"/>
    <w:rsid w:val="00083C96"/>
    <w:rsid w:val="00093C72"/>
    <w:rsid w:val="00095D82"/>
    <w:rsid w:val="000A172E"/>
    <w:rsid w:val="000A1FD4"/>
    <w:rsid w:val="000A20E4"/>
    <w:rsid w:val="000A2271"/>
    <w:rsid w:val="000B65C7"/>
    <w:rsid w:val="000C015D"/>
    <w:rsid w:val="000C206E"/>
    <w:rsid w:val="000C4BA0"/>
    <w:rsid w:val="000D27C9"/>
    <w:rsid w:val="000D5D39"/>
    <w:rsid w:val="000E2471"/>
    <w:rsid w:val="000E5826"/>
    <w:rsid w:val="000E7941"/>
    <w:rsid w:val="000F3C8B"/>
    <w:rsid w:val="000F43E3"/>
    <w:rsid w:val="000F4554"/>
    <w:rsid w:val="00101212"/>
    <w:rsid w:val="00101D5F"/>
    <w:rsid w:val="00103124"/>
    <w:rsid w:val="00104696"/>
    <w:rsid w:val="00105754"/>
    <w:rsid w:val="001179B5"/>
    <w:rsid w:val="00125973"/>
    <w:rsid w:val="00125EA5"/>
    <w:rsid w:val="0012701C"/>
    <w:rsid w:val="00130EB9"/>
    <w:rsid w:val="00135297"/>
    <w:rsid w:val="0014379C"/>
    <w:rsid w:val="0014579D"/>
    <w:rsid w:val="00153ED1"/>
    <w:rsid w:val="00163DB3"/>
    <w:rsid w:val="00165C5E"/>
    <w:rsid w:val="00167C94"/>
    <w:rsid w:val="001711D3"/>
    <w:rsid w:val="001726DA"/>
    <w:rsid w:val="00185453"/>
    <w:rsid w:val="00185E8E"/>
    <w:rsid w:val="001962EB"/>
    <w:rsid w:val="001B1858"/>
    <w:rsid w:val="001B5B3D"/>
    <w:rsid w:val="001B62C5"/>
    <w:rsid w:val="001B7812"/>
    <w:rsid w:val="001C34F9"/>
    <w:rsid w:val="001C5760"/>
    <w:rsid w:val="001C61F1"/>
    <w:rsid w:val="001C6336"/>
    <w:rsid w:val="001C78F6"/>
    <w:rsid w:val="001C797F"/>
    <w:rsid w:val="001D0D1B"/>
    <w:rsid w:val="001D176B"/>
    <w:rsid w:val="001D20B3"/>
    <w:rsid w:val="001D31FF"/>
    <w:rsid w:val="001E0CEC"/>
    <w:rsid w:val="001E287E"/>
    <w:rsid w:val="001E2B1C"/>
    <w:rsid w:val="001E3BCF"/>
    <w:rsid w:val="001F00F3"/>
    <w:rsid w:val="001F0FC4"/>
    <w:rsid w:val="001F485B"/>
    <w:rsid w:val="001F581B"/>
    <w:rsid w:val="0021244F"/>
    <w:rsid w:val="0021296B"/>
    <w:rsid w:val="00212FE9"/>
    <w:rsid w:val="00215819"/>
    <w:rsid w:val="00217122"/>
    <w:rsid w:val="00217AE9"/>
    <w:rsid w:val="00221199"/>
    <w:rsid w:val="00221953"/>
    <w:rsid w:val="00225AA9"/>
    <w:rsid w:val="00230574"/>
    <w:rsid w:val="00231CFF"/>
    <w:rsid w:val="00234826"/>
    <w:rsid w:val="002472D9"/>
    <w:rsid w:val="00247505"/>
    <w:rsid w:val="002509A2"/>
    <w:rsid w:val="0025138E"/>
    <w:rsid w:val="002521C9"/>
    <w:rsid w:val="0025412A"/>
    <w:rsid w:val="00262E40"/>
    <w:rsid w:val="00263A43"/>
    <w:rsid w:val="0026666F"/>
    <w:rsid w:val="002711E6"/>
    <w:rsid w:val="002718B8"/>
    <w:rsid w:val="00276739"/>
    <w:rsid w:val="0027767D"/>
    <w:rsid w:val="00280637"/>
    <w:rsid w:val="00284BF0"/>
    <w:rsid w:val="002904C8"/>
    <w:rsid w:val="002946A2"/>
    <w:rsid w:val="002A05F8"/>
    <w:rsid w:val="002A3C05"/>
    <w:rsid w:val="002B0567"/>
    <w:rsid w:val="002B0C7B"/>
    <w:rsid w:val="002C16E8"/>
    <w:rsid w:val="002D0FB7"/>
    <w:rsid w:val="002D255E"/>
    <w:rsid w:val="002D498C"/>
    <w:rsid w:val="002D549A"/>
    <w:rsid w:val="002D6F46"/>
    <w:rsid w:val="002E014D"/>
    <w:rsid w:val="002E27A9"/>
    <w:rsid w:val="002E2874"/>
    <w:rsid w:val="002E418E"/>
    <w:rsid w:val="002E5995"/>
    <w:rsid w:val="002E659F"/>
    <w:rsid w:val="002E79DB"/>
    <w:rsid w:val="002F11DF"/>
    <w:rsid w:val="002F1B18"/>
    <w:rsid w:val="003006F2"/>
    <w:rsid w:val="003014E7"/>
    <w:rsid w:val="00303E94"/>
    <w:rsid w:val="00304151"/>
    <w:rsid w:val="003058C4"/>
    <w:rsid w:val="00305978"/>
    <w:rsid w:val="00306FA3"/>
    <w:rsid w:val="00311250"/>
    <w:rsid w:val="00316F04"/>
    <w:rsid w:val="0031792E"/>
    <w:rsid w:val="00320A89"/>
    <w:rsid w:val="00324C6F"/>
    <w:rsid w:val="00326910"/>
    <w:rsid w:val="00332E8F"/>
    <w:rsid w:val="0033465E"/>
    <w:rsid w:val="003354C8"/>
    <w:rsid w:val="00336209"/>
    <w:rsid w:val="00336ED6"/>
    <w:rsid w:val="003450A8"/>
    <w:rsid w:val="00347EA8"/>
    <w:rsid w:val="00360300"/>
    <w:rsid w:val="00363940"/>
    <w:rsid w:val="00367C0C"/>
    <w:rsid w:val="00375A22"/>
    <w:rsid w:val="00380928"/>
    <w:rsid w:val="00385760"/>
    <w:rsid w:val="00386B78"/>
    <w:rsid w:val="003974F6"/>
    <w:rsid w:val="003A1EBF"/>
    <w:rsid w:val="003A3D7D"/>
    <w:rsid w:val="003A7703"/>
    <w:rsid w:val="003B05D6"/>
    <w:rsid w:val="003B261A"/>
    <w:rsid w:val="003B3505"/>
    <w:rsid w:val="003B7D60"/>
    <w:rsid w:val="003C0213"/>
    <w:rsid w:val="003C0267"/>
    <w:rsid w:val="003C3840"/>
    <w:rsid w:val="003C3F30"/>
    <w:rsid w:val="003C67F1"/>
    <w:rsid w:val="003C6DFF"/>
    <w:rsid w:val="003D11CA"/>
    <w:rsid w:val="003D56E3"/>
    <w:rsid w:val="003E59BF"/>
    <w:rsid w:val="003E67E5"/>
    <w:rsid w:val="003E7862"/>
    <w:rsid w:val="003F1C24"/>
    <w:rsid w:val="003F2E3B"/>
    <w:rsid w:val="003F4CE5"/>
    <w:rsid w:val="003F547E"/>
    <w:rsid w:val="003F57CE"/>
    <w:rsid w:val="003F6B05"/>
    <w:rsid w:val="004002CD"/>
    <w:rsid w:val="00401998"/>
    <w:rsid w:val="00403F11"/>
    <w:rsid w:val="00410D71"/>
    <w:rsid w:val="00412AC9"/>
    <w:rsid w:val="00413595"/>
    <w:rsid w:val="004174B7"/>
    <w:rsid w:val="00427966"/>
    <w:rsid w:val="00437020"/>
    <w:rsid w:val="00441D79"/>
    <w:rsid w:val="00442B8C"/>
    <w:rsid w:val="0044313F"/>
    <w:rsid w:val="004433D6"/>
    <w:rsid w:val="00445D10"/>
    <w:rsid w:val="00446B25"/>
    <w:rsid w:val="004475F9"/>
    <w:rsid w:val="0045022C"/>
    <w:rsid w:val="00451986"/>
    <w:rsid w:val="00454CA7"/>
    <w:rsid w:val="00462051"/>
    <w:rsid w:val="00465900"/>
    <w:rsid w:val="00466731"/>
    <w:rsid w:val="00473145"/>
    <w:rsid w:val="004914BB"/>
    <w:rsid w:val="00491786"/>
    <w:rsid w:val="004926B4"/>
    <w:rsid w:val="00492B06"/>
    <w:rsid w:val="00494C47"/>
    <w:rsid w:val="00496097"/>
    <w:rsid w:val="004A02CE"/>
    <w:rsid w:val="004A168F"/>
    <w:rsid w:val="004A31AA"/>
    <w:rsid w:val="004A40A4"/>
    <w:rsid w:val="004A6AD3"/>
    <w:rsid w:val="004B5A22"/>
    <w:rsid w:val="004C22DA"/>
    <w:rsid w:val="004D0546"/>
    <w:rsid w:val="004D0B29"/>
    <w:rsid w:val="004D6D0C"/>
    <w:rsid w:val="004E1E2D"/>
    <w:rsid w:val="004E1F21"/>
    <w:rsid w:val="004E41A5"/>
    <w:rsid w:val="004F01E4"/>
    <w:rsid w:val="004F0578"/>
    <w:rsid w:val="004F0934"/>
    <w:rsid w:val="004F2289"/>
    <w:rsid w:val="004F237B"/>
    <w:rsid w:val="004F2E67"/>
    <w:rsid w:val="004F57A4"/>
    <w:rsid w:val="004F61D5"/>
    <w:rsid w:val="0050171A"/>
    <w:rsid w:val="005017D9"/>
    <w:rsid w:val="00501A55"/>
    <w:rsid w:val="00513604"/>
    <w:rsid w:val="0052302E"/>
    <w:rsid w:val="005246BE"/>
    <w:rsid w:val="005310C7"/>
    <w:rsid w:val="00532132"/>
    <w:rsid w:val="00532546"/>
    <w:rsid w:val="00535EFD"/>
    <w:rsid w:val="005369A3"/>
    <w:rsid w:val="00540805"/>
    <w:rsid w:val="005411C7"/>
    <w:rsid w:val="005463D1"/>
    <w:rsid w:val="00547D56"/>
    <w:rsid w:val="00553810"/>
    <w:rsid w:val="00553C73"/>
    <w:rsid w:val="00553CB3"/>
    <w:rsid w:val="00554574"/>
    <w:rsid w:val="00555709"/>
    <w:rsid w:val="00563FFF"/>
    <w:rsid w:val="005654E2"/>
    <w:rsid w:val="005677B8"/>
    <w:rsid w:val="00567F13"/>
    <w:rsid w:val="00571246"/>
    <w:rsid w:val="00573C83"/>
    <w:rsid w:val="005775F4"/>
    <w:rsid w:val="00577861"/>
    <w:rsid w:val="00577BCC"/>
    <w:rsid w:val="005810CA"/>
    <w:rsid w:val="00581735"/>
    <w:rsid w:val="0058193F"/>
    <w:rsid w:val="00581FBB"/>
    <w:rsid w:val="0058490D"/>
    <w:rsid w:val="00591F7C"/>
    <w:rsid w:val="00594A5F"/>
    <w:rsid w:val="005960E2"/>
    <w:rsid w:val="00596453"/>
    <w:rsid w:val="00597F8F"/>
    <w:rsid w:val="005A1AA5"/>
    <w:rsid w:val="005A5222"/>
    <w:rsid w:val="005A7F37"/>
    <w:rsid w:val="005B2F5C"/>
    <w:rsid w:val="005B3444"/>
    <w:rsid w:val="005B4CAC"/>
    <w:rsid w:val="005B602E"/>
    <w:rsid w:val="005C2E19"/>
    <w:rsid w:val="005C4C5F"/>
    <w:rsid w:val="005C6A35"/>
    <w:rsid w:val="005D06FE"/>
    <w:rsid w:val="005D20CF"/>
    <w:rsid w:val="005D23CB"/>
    <w:rsid w:val="005D263E"/>
    <w:rsid w:val="005D6D41"/>
    <w:rsid w:val="005E1210"/>
    <w:rsid w:val="005E1507"/>
    <w:rsid w:val="005E27D7"/>
    <w:rsid w:val="005E3784"/>
    <w:rsid w:val="005E46E4"/>
    <w:rsid w:val="005F05DB"/>
    <w:rsid w:val="005F2E6B"/>
    <w:rsid w:val="005F3248"/>
    <w:rsid w:val="005F52D9"/>
    <w:rsid w:val="00601371"/>
    <w:rsid w:val="006020C8"/>
    <w:rsid w:val="00603651"/>
    <w:rsid w:val="00603F20"/>
    <w:rsid w:val="006043A9"/>
    <w:rsid w:val="00610B1B"/>
    <w:rsid w:val="00610F9A"/>
    <w:rsid w:val="006155A3"/>
    <w:rsid w:val="00616FA9"/>
    <w:rsid w:val="00625A2D"/>
    <w:rsid w:val="00627EFD"/>
    <w:rsid w:val="006316E5"/>
    <w:rsid w:val="00631A43"/>
    <w:rsid w:val="0063312E"/>
    <w:rsid w:val="00633B0A"/>
    <w:rsid w:val="006403A8"/>
    <w:rsid w:val="00646592"/>
    <w:rsid w:val="00654C3F"/>
    <w:rsid w:val="0065552E"/>
    <w:rsid w:val="00661E5A"/>
    <w:rsid w:val="00663FFC"/>
    <w:rsid w:val="006643DC"/>
    <w:rsid w:val="0066460E"/>
    <w:rsid w:val="006653EF"/>
    <w:rsid w:val="0068388D"/>
    <w:rsid w:val="00684DC0"/>
    <w:rsid w:val="0068719E"/>
    <w:rsid w:val="00695597"/>
    <w:rsid w:val="006957B2"/>
    <w:rsid w:val="00695C18"/>
    <w:rsid w:val="006A016E"/>
    <w:rsid w:val="006A02BC"/>
    <w:rsid w:val="006A7B96"/>
    <w:rsid w:val="006A7FE3"/>
    <w:rsid w:val="006B20DC"/>
    <w:rsid w:val="006B23F7"/>
    <w:rsid w:val="006C2D65"/>
    <w:rsid w:val="006C4D62"/>
    <w:rsid w:val="006D30C8"/>
    <w:rsid w:val="006D4A37"/>
    <w:rsid w:val="006E2522"/>
    <w:rsid w:val="006E3DEC"/>
    <w:rsid w:val="006E3F28"/>
    <w:rsid w:val="006E4B6F"/>
    <w:rsid w:val="006F0A69"/>
    <w:rsid w:val="006F3AE2"/>
    <w:rsid w:val="006F58FB"/>
    <w:rsid w:val="006F6ED7"/>
    <w:rsid w:val="006F711E"/>
    <w:rsid w:val="00706604"/>
    <w:rsid w:val="007118C4"/>
    <w:rsid w:val="007200A5"/>
    <w:rsid w:val="00721EE9"/>
    <w:rsid w:val="00723DE0"/>
    <w:rsid w:val="007277AD"/>
    <w:rsid w:val="00732595"/>
    <w:rsid w:val="007433BB"/>
    <w:rsid w:val="0074349F"/>
    <w:rsid w:val="00745EFD"/>
    <w:rsid w:val="00746560"/>
    <w:rsid w:val="0075466C"/>
    <w:rsid w:val="0075474C"/>
    <w:rsid w:val="007548FA"/>
    <w:rsid w:val="007610D3"/>
    <w:rsid w:val="007628E9"/>
    <w:rsid w:val="007632B9"/>
    <w:rsid w:val="007705D2"/>
    <w:rsid w:val="00774921"/>
    <w:rsid w:val="00775105"/>
    <w:rsid w:val="007779A3"/>
    <w:rsid w:val="00780203"/>
    <w:rsid w:val="00780877"/>
    <w:rsid w:val="00783891"/>
    <w:rsid w:val="00783E6C"/>
    <w:rsid w:val="00786939"/>
    <w:rsid w:val="007878B8"/>
    <w:rsid w:val="007949EA"/>
    <w:rsid w:val="00797754"/>
    <w:rsid w:val="007A4CCC"/>
    <w:rsid w:val="007A6E0D"/>
    <w:rsid w:val="007A79E6"/>
    <w:rsid w:val="007B060E"/>
    <w:rsid w:val="007B21A1"/>
    <w:rsid w:val="007B3927"/>
    <w:rsid w:val="007B511F"/>
    <w:rsid w:val="007B748A"/>
    <w:rsid w:val="007B7A18"/>
    <w:rsid w:val="007C1D9A"/>
    <w:rsid w:val="007C2CE3"/>
    <w:rsid w:val="007C56B9"/>
    <w:rsid w:val="007C7AB4"/>
    <w:rsid w:val="007C7CD2"/>
    <w:rsid w:val="007D01C8"/>
    <w:rsid w:val="007D3EB0"/>
    <w:rsid w:val="007D48CE"/>
    <w:rsid w:val="007D533F"/>
    <w:rsid w:val="007D5BA6"/>
    <w:rsid w:val="007D69B5"/>
    <w:rsid w:val="007D6A9F"/>
    <w:rsid w:val="007E5490"/>
    <w:rsid w:val="007E64D9"/>
    <w:rsid w:val="007F6A8C"/>
    <w:rsid w:val="00801493"/>
    <w:rsid w:val="008036B8"/>
    <w:rsid w:val="008050F5"/>
    <w:rsid w:val="0080732A"/>
    <w:rsid w:val="0081068B"/>
    <w:rsid w:val="00811DCF"/>
    <w:rsid w:val="00812324"/>
    <w:rsid w:val="00814D4C"/>
    <w:rsid w:val="008265E8"/>
    <w:rsid w:val="008270CD"/>
    <w:rsid w:val="008270DF"/>
    <w:rsid w:val="00827378"/>
    <w:rsid w:val="00830E6C"/>
    <w:rsid w:val="008372EC"/>
    <w:rsid w:val="00837A09"/>
    <w:rsid w:val="0084123C"/>
    <w:rsid w:val="008438AF"/>
    <w:rsid w:val="00843FE8"/>
    <w:rsid w:val="0084769C"/>
    <w:rsid w:val="00847748"/>
    <w:rsid w:val="00854FA6"/>
    <w:rsid w:val="0085530C"/>
    <w:rsid w:val="008600C8"/>
    <w:rsid w:val="0086023B"/>
    <w:rsid w:val="00861DA2"/>
    <w:rsid w:val="00863428"/>
    <w:rsid w:val="0086406A"/>
    <w:rsid w:val="008656A6"/>
    <w:rsid w:val="00865730"/>
    <w:rsid w:val="00865C2F"/>
    <w:rsid w:val="0086676E"/>
    <w:rsid w:val="008719D2"/>
    <w:rsid w:val="00875210"/>
    <w:rsid w:val="00875A4A"/>
    <w:rsid w:val="00877B1A"/>
    <w:rsid w:val="00881F5E"/>
    <w:rsid w:val="00883E59"/>
    <w:rsid w:val="00885F73"/>
    <w:rsid w:val="008869D6"/>
    <w:rsid w:val="0089203E"/>
    <w:rsid w:val="00894786"/>
    <w:rsid w:val="00897670"/>
    <w:rsid w:val="00897D79"/>
    <w:rsid w:val="008A19CB"/>
    <w:rsid w:val="008A59B9"/>
    <w:rsid w:val="008A7F65"/>
    <w:rsid w:val="008B057E"/>
    <w:rsid w:val="008B5D70"/>
    <w:rsid w:val="008C53AB"/>
    <w:rsid w:val="008D42B2"/>
    <w:rsid w:val="008D59F5"/>
    <w:rsid w:val="008D7541"/>
    <w:rsid w:val="008D76B2"/>
    <w:rsid w:val="008E057F"/>
    <w:rsid w:val="008F2BA5"/>
    <w:rsid w:val="008F4ED8"/>
    <w:rsid w:val="008F5C1B"/>
    <w:rsid w:val="008F5C90"/>
    <w:rsid w:val="009007F8"/>
    <w:rsid w:val="00901DA0"/>
    <w:rsid w:val="00902723"/>
    <w:rsid w:val="00906C6A"/>
    <w:rsid w:val="00914273"/>
    <w:rsid w:val="00916A80"/>
    <w:rsid w:val="009179ED"/>
    <w:rsid w:val="009279BF"/>
    <w:rsid w:val="00927CD2"/>
    <w:rsid w:val="009372FC"/>
    <w:rsid w:val="00937D26"/>
    <w:rsid w:val="009420D2"/>
    <w:rsid w:val="00945A35"/>
    <w:rsid w:val="00947697"/>
    <w:rsid w:val="00951C86"/>
    <w:rsid w:val="00952EB6"/>
    <w:rsid w:val="00954086"/>
    <w:rsid w:val="00956D7A"/>
    <w:rsid w:val="00965199"/>
    <w:rsid w:val="00966046"/>
    <w:rsid w:val="00966DF9"/>
    <w:rsid w:val="009770EE"/>
    <w:rsid w:val="009812D4"/>
    <w:rsid w:val="00992C7C"/>
    <w:rsid w:val="009930EE"/>
    <w:rsid w:val="00996D3D"/>
    <w:rsid w:val="009A0131"/>
    <w:rsid w:val="009A730D"/>
    <w:rsid w:val="009B08FB"/>
    <w:rsid w:val="009B65D5"/>
    <w:rsid w:val="009C1445"/>
    <w:rsid w:val="009D231C"/>
    <w:rsid w:val="009D5C97"/>
    <w:rsid w:val="009E0C09"/>
    <w:rsid w:val="009E0C57"/>
    <w:rsid w:val="009E4C46"/>
    <w:rsid w:val="009E5E52"/>
    <w:rsid w:val="009E7CD3"/>
    <w:rsid w:val="009F3FE3"/>
    <w:rsid w:val="009F461C"/>
    <w:rsid w:val="009F5DBE"/>
    <w:rsid w:val="00A02299"/>
    <w:rsid w:val="00A04BF4"/>
    <w:rsid w:val="00A07EF0"/>
    <w:rsid w:val="00A10221"/>
    <w:rsid w:val="00A11385"/>
    <w:rsid w:val="00A21B8D"/>
    <w:rsid w:val="00A22F1A"/>
    <w:rsid w:val="00A252BA"/>
    <w:rsid w:val="00A25B84"/>
    <w:rsid w:val="00A32450"/>
    <w:rsid w:val="00A43ADB"/>
    <w:rsid w:val="00A43F2C"/>
    <w:rsid w:val="00A4416C"/>
    <w:rsid w:val="00A4536C"/>
    <w:rsid w:val="00A46877"/>
    <w:rsid w:val="00A47C6F"/>
    <w:rsid w:val="00A50C76"/>
    <w:rsid w:val="00A5492F"/>
    <w:rsid w:val="00A54CF6"/>
    <w:rsid w:val="00A567BD"/>
    <w:rsid w:val="00A60DC3"/>
    <w:rsid w:val="00A60E56"/>
    <w:rsid w:val="00A71D60"/>
    <w:rsid w:val="00A73EFA"/>
    <w:rsid w:val="00A75914"/>
    <w:rsid w:val="00A75B50"/>
    <w:rsid w:val="00A76AE1"/>
    <w:rsid w:val="00A81DDB"/>
    <w:rsid w:val="00A871E5"/>
    <w:rsid w:val="00A91F56"/>
    <w:rsid w:val="00A93028"/>
    <w:rsid w:val="00A9609E"/>
    <w:rsid w:val="00AA5E76"/>
    <w:rsid w:val="00AB08D2"/>
    <w:rsid w:val="00AB152E"/>
    <w:rsid w:val="00AC1446"/>
    <w:rsid w:val="00AC5C9F"/>
    <w:rsid w:val="00AC7330"/>
    <w:rsid w:val="00AD06DF"/>
    <w:rsid w:val="00AD120B"/>
    <w:rsid w:val="00AD3537"/>
    <w:rsid w:val="00AD6996"/>
    <w:rsid w:val="00AD7CD5"/>
    <w:rsid w:val="00AE0A90"/>
    <w:rsid w:val="00AE4D14"/>
    <w:rsid w:val="00AF09E1"/>
    <w:rsid w:val="00AF2EBF"/>
    <w:rsid w:val="00AF7348"/>
    <w:rsid w:val="00B01132"/>
    <w:rsid w:val="00B06CA8"/>
    <w:rsid w:val="00B129D9"/>
    <w:rsid w:val="00B15C81"/>
    <w:rsid w:val="00B21761"/>
    <w:rsid w:val="00B21FA3"/>
    <w:rsid w:val="00B2270F"/>
    <w:rsid w:val="00B22F3D"/>
    <w:rsid w:val="00B23E61"/>
    <w:rsid w:val="00B24FDD"/>
    <w:rsid w:val="00B307A7"/>
    <w:rsid w:val="00B30D86"/>
    <w:rsid w:val="00B355CE"/>
    <w:rsid w:val="00B36733"/>
    <w:rsid w:val="00B40998"/>
    <w:rsid w:val="00B42D66"/>
    <w:rsid w:val="00B43BED"/>
    <w:rsid w:val="00B44DEE"/>
    <w:rsid w:val="00B45490"/>
    <w:rsid w:val="00B52D74"/>
    <w:rsid w:val="00B5520C"/>
    <w:rsid w:val="00B5575D"/>
    <w:rsid w:val="00B5751C"/>
    <w:rsid w:val="00B65C66"/>
    <w:rsid w:val="00B70B84"/>
    <w:rsid w:val="00B7315E"/>
    <w:rsid w:val="00B74C6C"/>
    <w:rsid w:val="00B777EC"/>
    <w:rsid w:val="00B8336E"/>
    <w:rsid w:val="00B8546C"/>
    <w:rsid w:val="00B865DB"/>
    <w:rsid w:val="00B90025"/>
    <w:rsid w:val="00B921E0"/>
    <w:rsid w:val="00BA0B72"/>
    <w:rsid w:val="00BA0DAA"/>
    <w:rsid w:val="00BA1600"/>
    <w:rsid w:val="00BA611B"/>
    <w:rsid w:val="00BA7791"/>
    <w:rsid w:val="00BB755E"/>
    <w:rsid w:val="00BB7F97"/>
    <w:rsid w:val="00BC4D68"/>
    <w:rsid w:val="00BD5E07"/>
    <w:rsid w:val="00BD6786"/>
    <w:rsid w:val="00BD73CF"/>
    <w:rsid w:val="00BF7935"/>
    <w:rsid w:val="00C01ABC"/>
    <w:rsid w:val="00C01FCB"/>
    <w:rsid w:val="00C061FD"/>
    <w:rsid w:val="00C06496"/>
    <w:rsid w:val="00C06621"/>
    <w:rsid w:val="00C11002"/>
    <w:rsid w:val="00C122AE"/>
    <w:rsid w:val="00C13434"/>
    <w:rsid w:val="00C17665"/>
    <w:rsid w:val="00C20EFD"/>
    <w:rsid w:val="00C23760"/>
    <w:rsid w:val="00C26169"/>
    <w:rsid w:val="00C32DF8"/>
    <w:rsid w:val="00C40729"/>
    <w:rsid w:val="00C4146B"/>
    <w:rsid w:val="00C41DDB"/>
    <w:rsid w:val="00C46C5A"/>
    <w:rsid w:val="00C52ABE"/>
    <w:rsid w:val="00C55695"/>
    <w:rsid w:val="00C5676F"/>
    <w:rsid w:val="00C6033B"/>
    <w:rsid w:val="00C61E3E"/>
    <w:rsid w:val="00C623F3"/>
    <w:rsid w:val="00C656B1"/>
    <w:rsid w:val="00C70250"/>
    <w:rsid w:val="00C7056E"/>
    <w:rsid w:val="00C75DF5"/>
    <w:rsid w:val="00C829AC"/>
    <w:rsid w:val="00C867C2"/>
    <w:rsid w:val="00C93107"/>
    <w:rsid w:val="00CA5711"/>
    <w:rsid w:val="00CB384E"/>
    <w:rsid w:val="00CB683A"/>
    <w:rsid w:val="00CB7C2C"/>
    <w:rsid w:val="00CC062F"/>
    <w:rsid w:val="00CC1768"/>
    <w:rsid w:val="00CC27BC"/>
    <w:rsid w:val="00CC301F"/>
    <w:rsid w:val="00CC4D06"/>
    <w:rsid w:val="00CC581C"/>
    <w:rsid w:val="00CC67D8"/>
    <w:rsid w:val="00CC68E1"/>
    <w:rsid w:val="00CD0745"/>
    <w:rsid w:val="00CD363B"/>
    <w:rsid w:val="00CD3C90"/>
    <w:rsid w:val="00CD591F"/>
    <w:rsid w:val="00CD59B1"/>
    <w:rsid w:val="00CF098A"/>
    <w:rsid w:val="00CF3041"/>
    <w:rsid w:val="00CF61BE"/>
    <w:rsid w:val="00D01018"/>
    <w:rsid w:val="00D123C1"/>
    <w:rsid w:val="00D14CD2"/>
    <w:rsid w:val="00D234FD"/>
    <w:rsid w:val="00D2600B"/>
    <w:rsid w:val="00D3342B"/>
    <w:rsid w:val="00D357C6"/>
    <w:rsid w:val="00D45EBB"/>
    <w:rsid w:val="00D46E30"/>
    <w:rsid w:val="00D479FE"/>
    <w:rsid w:val="00D47BAA"/>
    <w:rsid w:val="00D50908"/>
    <w:rsid w:val="00D51B61"/>
    <w:rsid w:val="00D51DF9"/>
    <w:rsid w:val="00D56571"/>
    <w:rsid w:val="00D56F2E"/>
    <w:rsid w:val="00D661AE"/>
    <w:rsid w:val="00D67182"/>
    <w:rsid w:val="00D67DE0"/>
    <w:rsid w:val="00D7111E"/>
    <w:rsid w:val="00D73E09"/>
    <w:rsid w:val="00D746A9"/>
    <w:rsid w:val="00D74F66"/>
    <w:rsid w:val="00D7662E"/>
    <w:rsid w:val="00D82FBD"/>
    <w:rsid w:val="00D830B7"/>
    <w:rsid w:val="00D9338F"/>
    <w:rsid w:val="00D93EBE"/>
    <w:rsid w:val="00D9582C"/>
    <w:rsid w:val="00DA043A"/>
    <w:rsid w:val="00DA116C"/>
    <w:rsid w:val="00DA22C9"/>
    <w:rsid w:val="00DA53EC"/>
    <w:rsid w:val="00DA6B5D"/>
    <w:rsid w:val="00DB2A97"/>
    <w:rsid w:val="00DB419A"/>
    <w:rsid w:val="00DB53CC"/>
    <w:rsid w:val="00DC070C"/>
    <w:rsid w:val="00DC195F"/>
    <w:rsid w:val="00DC68D5"/>
    <w:rsid w:val="00DC7FB8"/>
    <w:rsid w:val="00DD0BE7"/>
    <w:rsid w:val="00DD34A5"/>
    <w:rsid w:val="00DD37B4"/>
    <w:rsid w:val="00DD422D"/>
    <w:rsid w:val="00DD42FE"/>
    <w:rsid w:val="00DD5B5F"/>
    <w:rsid w:val="00DD6610"/>
    <w:rsid w:val="00E00F98"/>
    <w:rsid w:val="00E11D29"/>
    <w:rsid w:val="00E13C45"/>
    <w:rsid w:val="00E1588B"/>
    <w:rsid w:val="00E16792"/>
    <w:rsid w:val="00E24671"/>
    <w:rsid w:val="00E25297"/>
    <w:rsid w:val="00E256FC"/>
    <w:rsid w:val="00E2573A"/>
    <w:rsid w:val="00E27CBC"/>
    <w:rsid w:val="00E3078B"/>
    <w:rsid w:val="00E308DC"/>
    <w:rsid w:val="00E3221E"/>
    <w:rsid w:val="00E35D89"/>
    <w:rsid w:val="00E37E77"/>
    <w:rsid w:val="00E4112E"/>
    <w:rsid w:val="00E434BF"/>
    <w:rsid w:val="00E43FAD"/>
    <w:rsid w:val="00E5111B"/>
    <w:rsid w:val="00E54FBA"/>
    <w:rsid w:val="00E60BF7"/>
    <w:rsid w:val="00E62140"/>
    <w:rsid w:val="00E664F5"/>
    <w:rsid w:val="00E67D1B"/>
    <w:rsid w:val="00E72AFF"/>
    <w:rsid w:val="00E74C04"/>
    <w:rsid w:val="00E7537D"/>
    <w:rsid w:val="00E76E67"/>
    <w:rsid w:val="00E80396"/>
    <w:rsid w:val="00E840B6"/>
    <w:rsid w:val="00E845AB"/>
    <w:rsid w:val="00E8579D"/>
    <w:rsid w:val="00E928F1"/>
    <w:rsid w:val="00E96D46"/>
    <w:rsid w:val="00EA0A58"/>
    <w:rsid w:val="00EA246B"/>
    <w:rsid w:val="00EA3454"/>
    <w:rsid w:val="00EA61C7"/>
    <w:rsid w:val="00EB19F6"/>
    <w:rsid w:val="00EB1A3A"/>
    <w:rsid w:val="00EB2626"/>
    <w:rsid w:val="00EB2786"/>
    <w:rsid w:val="00EB3480"/>
    <w:rsid w:val="00EB589C"/>
    <w:rsid w:val="00EB5E97"/>
    <w:rsid w:val="00EB6791"/>
    <w:rsid w:val="00EB74F2"/>
    <w:rsid w:val="00EB7B5A"/>
    <w:rsid w:val="00EC35A4"/>
    <w:rsid w:val="00EC4454"/>
    <w:rsid w:val="00EC519C"/>
    <w:rsid w:val="00ED00D7"/>
    <w:rsid w:val="00ED0199"/>
    <w:rsid w:val="00ED185D"/>
    <w:rsid w:val="00ED1FC8"/>
    <w:rsid w:val="00ED43BB"/>
    <w:rsid w:val="00ED4677"/>
    <w:rsid w:val="00ED57C3"/>
    <w:rsid w:val="00ED7B67"/>
    <w:rsid w:val="00ED7E50"/>
    <w:rsid w:val="00ED7FE4"/>
    <w:rsid w:val="00EE2123"/>
    <w:rsid w:val="00EE43B0"/>
    <w:rsid w:val="00EE56BB"/>
    <w:rsid w:val="00EE6630"/>
    <w:rsid w:val="00EF1E93"/>
    <w:rsid w:val="00EF3F75"/>
    <w:rsid w:val="00EF6661"/>
    <w:rsid w:val="00F06156"/>
    <w:rsid w:val="00F25441"/>
    <w:rsid w:val="00F260BE"/>
    <w:rsid w:val="00F27B33"/>
    <w:rsid w:val="00F33643"/>
    <w:rsid w:val="00F34C66"/>
    <w:rsid w:val="00F35C86"/>
    <w:rsid w:val="00F37382"/>
    <w:rsid w:val="00F3743B"/>
    <w:rsid w:val="00F521A4"/>
    <w:rsid w:val="00F52C18"/>
    <w:rsid w:val="00F56866"/>
    <w:rsid w:val="00F605C4"/>
    <w:rsid w:val="00F61B6C"/>
    <w:rsid w:val="00F62A6F"/>
    <w:rsid w:val="00F6410E"/>
    <w:rsid w:val="00F6431D"/>
    <w:rsid w:val="00F67F91"/>
    <w:rsid w:val="00F71F05"/>
    <w:rsid w:val="00F74EB6"/>
    <w:rsid w:val="00F753E3"/>
    <w:rsid w:val="00F75C5D"/>
    <w:rsid w:val="00F8432C"/>
    <w:rsid w:val="00F84794"/>
    <w:rsid w:val="00F85DA0"/>
    <w:rsid w:val="00F909F8"/>
    <w:rsid w:val="00F9180E"/>
    <w:rsid w:val="00F91D83"/>
    <w:rsid w:val="00F91F93"/>
    <w:rsid w:val="00F93A64"/>
    <w:rsid w:val="00F94A2A"/>
    <w:rsid w:val="00FA03AF"/>
    <w:rsid w:val="00FA0739"/>
    <w:rsid w:val="00FA112C"/>
    <w:rsid w:val="00FB07E8"/>
    <w:rsid w:val="00FB1339"/>
    <w:rsid w:val="00FB2454"/>
    <w:rsid w:val="00FB471E"/>
    <w:rsid w:val="00FB56E2"/>
    <w:rsid w:val="00FC36E4"/>
    <w:rsid w:val="00FC5011"/>
    <w:rsid w:val="00FC76F7"/>
    <w:rsid w:val="00FD0B96"/>
    <w:rsid w:val="00FD3059"/>
    <w:rsid w:val="00FD4FDA"/>
    <w:rsid w:val="00FD54A5"/>
    <w:rsid w:val="00FD572D"/>
    <w:rsid w:val="00FD58BE"/>
    <w:rsid w:val="00FE3E47"/>
    <w:rsid w:val="00FE4B3F"/>
    <w:rsid w:val="00FE62B4"/>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paragraph" w:styleId="Heading4">
    <w:name w:val="heading 4"/>
    <w:basedOn w:val="Normal"/>
    <w:next w:val="Normal"/>
    <w:link w:val="Heading4Char"/>
    <w:semiHidden/>
    <w:unhideWhenUsed/>
    <w:qFormat/>
    <w:rsid w:val="002946A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ED019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link w:val="FooterChar"/>
    <w:uiPriority w:val="99"/>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034520"/>
    <w:rPr>
      <w:color w:val="605E5C"/>
      <w:shd w:val="clear" w:color="auto" w:fill="E1DFDD"/>
    </w:rPr>
  </w:style>
  <w:style w:type="paragraph" w:styleId="ListParagraph">
    <w:name w:val="List Paragraph"/>
    <w:basedOn w:val="Normal"/>
    <w:uiPriority w:val="34"/>
    <w:qFormat/>
    <w:rsid w:val="00FA0739"/>
    <w:pPr>
      <w:ind w:left="720"/>
      <w:contextualSpacing/>
    </w:pPr>
  </w:style>
  <w:style w:type="character" w:customStyle="1" w:styleId="Heading5Char">
    <w:name w:val="Heading 5 Char"/>
    <w:basedOn w:val="DefaultParagraphFont"/>
    <w:link w:val="Heading5"/>
    <w:semiHidden/>
    <w:rsid w:val="00ED0199"/>
    <w:rPr>
      <w:rFonts w:asciiTheme="majorHAnsi" w:eastAsiaTheme="majorEastAsia" w:hAnsiTheme="majorHAnsi" w:cstheme="majorBidi"/>
      <w:color w:val="2E74B5" w:themeColor="accent1" w:themeShade="BF"/>
      <w:sz w:val="24"/>
    </w:rPr>
  </w:style>
  <w:style w:type="character" w:customStyle="1" w:styleId="Heading4Char">
    <w:name w:val="Heading 4 Char"/>
    <w:basedOn w:val="DefaultParagraphFont"/>
    <w:link w:val="Heading4"/>
    <w:semiHidden/>
    <w:rsid w:val="002946A2"/>
    <w:rPr>
      <w:rFonts w:asciiTheme="majorHAnsi" w:eastAsiaTheme="majorEastAsia" w:hAnsiTheme="majorHAnsi" w:cstheme="majorBidi"/>
      <w:i/>
      <w:iCs/>
      <w:color w:val="2E74B5" w:themeColor="accent1" w:themeShade="BF"/>
      <w:sz w:val="24"/>
    </w:rPr>
  </w:style>
  <w:style w:type="character" w:customStyle="1" w:styleId="FooterChar">
    <w:name w:val="Footer Char"/>
    <w:basedOn w:val="DefaultParagraphFont"/>
    <w:link w:val="Footer"/>
    <w:uiPriority w:val="99"/>
    <w:rsid w:val="000678E4"/>
    <w:rPr>
      <w:rFonts w:ascii="Times New Roman" w:eastAsia="Times New Roman" w:hAnsi="Times New Roman"/>
    </w:rPr>
  </w:style>
  <w:style w:type="paragraph" w:styleId="FootnoteText">
    <w:name w:val="footnote text"/>
    <w:basedOn w:val="Normal"/>
    <w:link w:val="FootnoteTextChar"/>
    <w:rsid w:val="000E5826"/>
    <w:pPr>
      <w:spacing w:before="0"/>
    </w:pPr>
    <w:rPr>
      <w:sz w:val="20"/>
    </w:rPr>
  </w:style>
  <w:style w:type="character" w:customStyle="1" w:styleId="FootnoteTextChar">
    <w:name w:val="Footnote Text Char"/>
    <w:basedOn w:val="DefaultParagraphFont"/>
    <w:link w:val="FootnoteText"/>
    <w:rsid w:val="000E5826"/>
    <w:rPr>
      <w:rFonts w:ascii="Times New Roman" w:hAnsi="Times New Roman"/>
    </w:rPr>
  </w:style>
  <w:style w:type="character" w:styleId="FootnoteReference">
    <w:name w:val="footnote reference"/>
    <w:basedOn w:val="DefaultParagraphFont"/>
    <w:rsid w:val="000E5826"/>
    <w:rPr>
      <w:vertAlign w:val="superscript"/>
    </w:rPr>
  </w:style>
  <w:style w:type="paragraph" w:styleId="Revision">
    <w:name w:val="Revision"/>
    <w:hidden/>
    <w:uiPriority w:val="99"/>
    <w:semiHidden/>
    <w:rsid w:val="00996D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852">
      <w:bodyDiv w:val="1"/>
      <w:marLeft w:val="0"/>
      <w:marRight w:val="0"/>
      <w:marTop w:val="0"/>
      <w:marBottom w:val="0"/>
      <w:divBdr>
        <w:top w:val="none" w:sz="0" w:space="0" w:color="auto"/>
        <w:left w:val="none" w:sz="0" w:space="0" w:color="auto"/>
        <w:bottom w:val="none" w:sz="0" w:space="0" w:color="auto"/>
        <w:right w:val="none" w:sz="0" w:space="0" w:color="auto"/>
      </w:divBdr>
    </w:div>
    <w:div w:id="113595208">
      <w:bodyDiv w:val="1"/>
      <w:marLeft w:val="0"/>
      <w:marRight w:val="0"/>
      <w:marTop w:val="0"/>
      <w:marBottom w:val="0"/>
      <w:divBdr>
        <w:top w:val="none" w:sz="0" w:space="0" w:color="auto"/>
        <w:left w:val="none" w:sz="0" w:space="0" w:color="auto"/>
        <w:bottom w:val="none" w:sz="0" w:space="0" w:color="auto"/>
        <w:right w:val="none" w:sz="0" w:space="0" w:color="auto"/>
      </w:divBdr>
    </w:div>
    <w:div w:id="131607081">
      <w:bodyDiv w:val="1"/>
      <w:marLeft w:val="0"/>
      <w:marRight w:val="0"/>
      <w:marTop w:val="0"/>
      <w:marBottom w:val="0"/>
      <w:divBdr>
        <w:top w:val="none" w:sz="0" w:space="0" w:color="auto"/>
        <w:left w:val="none" w:sz="0" w:space="0" w:color="auto"/>
        <w:bottom w:val="none" w:sz="0" w:space="0" w:color="auto"/>
        <w:right w:val="none" w:sz="0" w:space="0" w:color="auto"/>
      </w:divBdr>
    </w:div>
    <w:div w:id="162136700">
      <w:bodyDiv w:val="1"/>
      <w:marLeft w:val="0"/>
      <w:marRight w:val="0"/>
      <w:marTop w:val="0"/>
      <w:marBottom w:val="0"/>
      <w:divBdr>
        <w:top w:val="none" w:sz="0" w:space="0" w:color="auto"/>
        <w:left w:val="none" w:sz="0" w:space="0" w:color="auto"/>
        <w:bottom w:val="none" w:sz="0" w:space="0" w:color="auto"/>
        <w:right w:val="none" w:sz="0" w:space="0" w:color="auto"/>
      </w:divBdr>
    </w:div>
    <w:div w:id="361712463">
      <w:bodyDiv w:val="1"/>
      <w:marLeft w:val="0"/>
      <w:marRight w:val="0"/>
      <w:marTop w:val="0"/>
      <w:marBottom w:val="0"/>
      <w:divBdr>
        <w:top w:val="none" w:sz="0" w:space="0" w:color="auto"/>
        <w:left w:val="none" w:sz="0" w:space="0" w:color="auto"/>
        <w:bottom w:val="none" w:sz="0" w:space="0" w:color="auto"/>
        <w:right w:val="none" w:sz="0" w:space="0" w:color="auto"/>
      </w:divBdr>
    </w:div>
    <w:div w:id="392823478">
      <w:bodyDiv w:val="1"/>
      <w:marLeft w:val="0"/>
      <w:marRight w:val="0"/>
      <w:marTop w:val="0"/>
      <w:marBottom w:val="0"/>
      <w:divBdr>
        <w:top w:val="none" w:sz="0" w:space="0" w:color="auto"/>
        <w:left w:val="none" w:sz="0" w:space="0" w:color="auto"/>
        <w:bottom w:val="none" w:sz="0" w:space="0" w:color="auto"/>
        <w:right w:val="none" w:sz="0" w:space="0" w:color="auto"/>
      </w:divBdr>
    </w:div>
    <w:div w:id="398867797">
      <w:bodyDiv w:val="1"/>
      <w:marLeft w:val="0"/>
      <w:marRight w:val="0"/>
      <w:marTop w:val="0"/>
      <w:marBottom w:val="0"/>
      <w:divBdr>
        <w:top w:val="none" w:sz="0" w:space="0" w:color="auto"/>
        <w:left w:val="none" w:sz="0" w:space="0" w:color="auto"/>
        <w:bottom w:val="none" w:sz="0" w:space="0" w:color="auto"/>
        <w:right w:val="none" w:sz="0" w:space="0" w:color="auto"/>
      </w:divBdr>
    </w:div>
    <w:div w:id="508103541">
      <w:bodyDiv w:val="1"/>
      <w:marLeft w:val="0"/>
      <w:marRight w:val="0"/>
      <w:marTop w:val="0"/>
      <w:marBottom w:val="0"/>
      <w:divBdr>
        <w:top w:val="none" w:sz="0" w:space="0" w:color="auto"/>
        <w:left w:val="none" w:sz="0" w:space="0" w:color="auto"/>
        <w:bottom w:val="none" w:sz="0" w:space="0" w:color="auto"/>
        <w:right w:val="none" w:sz="0" w:space="0" w:color="auto"/>
      </w:divBdr>
    </w:div>
    <w:div w:id="590746446">
      <w:bodyDiv w:val="1"/>
      <w:marLeft w:val="0"/>
      <w:marRight w:val="0"/>
      <w:marTop w:val="0"/>
      <w:marBottom w:val="0"/>
      <w:divBdr>
        <w:top w:val="none" w:sz="0" w:space="0" w:color="auto"/>
        <w:left w:val="none" w:sz="0" w:space="0" w:color="auto"/>
        <w:bottom w:val="none" w:sz="0" w:space="0" w:color="auto"/>
        <w:right w:val="none" w:sz="0" w:space="0" w:color="auto"/>
      </w:divBdr>
    </w:div>
    <w:div w:id="619068673">
      <w:bodyDiv w:val="1"/>
      <w:marLeft w:val="0"/>
      <w:marRight w:val="0"/>
      <w:marTop w:val="0"/>
      <w:marBottom w:val="0"/>
      <w:divBdr>
        <w:top w:val="none" w:sz="0" w:space="0" w:color="auto"/>
        <w:left w:val="none" w:sz="0" w:space="0" w:color="auto"/>
        <w:bottom w:val="none" w:sz="0" w:space="0" w:color="auto"/>
        <w:right w:val="none" w:sz="0" w:space="0" w:color="auto"/>
      </w:divBdr>
    </w:div>
    <w:div w:id="709113575">
      <w:bodyDiv w:val="1"/>
      <w:marLeft w:val="0"/>
      <w:marRight w:val="0"/>
      <w:marTop w:val="0"/>
      <w:marBottom w:val="0"/>
      <w:divBdr>
        <w:top w:val="none" w:sz="0" w:space="0" w:color="auto"/>
        <w:left w:val="none" w:sz="0" w:space="0" w:color="auto"/>
        <w:bottom w:val="none" w:sz="0" w:space="0" w:color="auto"/>
        <w:right w:val="none" w:sz="0" w:space="0" w:color="auto"/>
      </w:divBdr>
    </w:div>
    <w:div w:id="838081383">
      <w:bodyDiv w:val="1"/>
      <w:marLeft w:val="0"/>
      <w:marRight w:val="0"/>
      <w:marTop w:val="0"/>
      <w:marBottom w:val="0"/>
      <w:divBdr>
        <w:top w:val="none" w:sz="0" w:space="0" w:color="auto"/>
        <w:left w:val="none" w:sz="0" w:space="0" w:color="auto"/>
        <w:bottom w:val="none" w:sz="0" w:space="0" w:color="auto"/>
        <w:right w:val="none" w:sz="0" w:space="0" w:color="auto"/>
      </w:divBdr>
    </w:div>
    <w:div w:id="896161662">
      <w:bodyDiv w:val="1"/>
      <w:marLeft w:val="0"/>
      <w:marRight w:val="0"/>
      <w:marTop w:val="0"/>
      <w:marBottom w:val="0"/>
      <w:divBdr>
        <w:top w:val="none" w:sz="0" w:space="0" w:color="auto"/>
        <w:left w:val="none" w:sz="0" w:space="0" w:color="auto"/>
        <w:bottom w:val="none" w:sz="0" w:space="0" w:color="auto"/>
        <w:right w:val="none" w:sz="0" w:space="0" w:color="auto"/>
      </w:divBdr>
    </w:div>
    <w:div w:id="1037899278">
      <w:bodyDiv w:val="1"/>
      <w:marLeft w:val="0"/>
      <w:marRight w:val="0"/>
      <w:marTop w:val="0"/>
      <w:marBottom w:val="0"/>
      <w:divBdr>
        <w:top w:val="none" w:sz="0" w:space="0" w:color="auto"/>
        <w:left w:val="none" w:sz="0" w:space="0" w:color="auto"/>
        <w:bottom w:val="none" w:sz="0" w:space="0" w:color="auto"/>
        <w:right w:val="none" w:sz="0" w:space="0" w:color="auto"/>
      </w:divBdr>
    </w:div>
    <w:div w:id="1132484853">
      <w:bodyDiv w:val="1"/>
      <w:marLeft w:val="0"/>
      <w:marRight w:val="0"/>
      <w:marTop w:val="0"/>
      <w:marBottom w:val="0"/>
      <w:divBdr>
        <w:top w:val="none" w:sz="0" w:space="0" w:color="auto"/>
        <w:left w:val="none" w:sz="0" w:space="0" w:color="auto"/>
        <w:bottom w:val="none" w:sz="0" w:space="0" w:color="auto"/>
        <w:right w:val="none" w:sz="0" w:space="0" w:color="auto"/>
      </w:divBdr>
    </w:div>
    <w:div w:id="1145706568">
      <w:bodyDiv w:val="1"/>
      <w:marLeft w:val="0"/>
      <w:marRight w:val="0"/>
      <w:marTop w:val="0"/>
      <w:marBottom w:val="0"/>
      <w:divBdr>
        <w:top w:val="none" w:sz="0" w:space="0" w:color="auto"/>
        <w:left w:val="none" w:sz="0" w:space="0" w:color="auto"/>
        <w:bottom w:val="none" w:sz="0" w:space="0" w:color="auto"/>
        <w:right w:val="none" w:sz="0" w:space="0" w:color="auto"/>
      </w:divBdr>
    </w:div>
    <w:div w:id="1183789681">
      <w:bodyDiv w:val="1"/>
      <w:marLeft w:val="0"/>
      <w:marRight w:val="0"/>
      <w:marTop w:val="0"/>
      <w:marBottom w:val="0"/>
      <w:divBdr>
        <w:top w:val="none" w:sz="0" w:space="0" w:color="auto"/>
        <w:left w:val="none" w:sz="0" w:space="0" w:color="auto"/>
        <w:bottom w:val="none" w:sz="0" w:space="0" w:color="auto"/>
        <w:right w:val="none" w:sz="0" w:space="0" w:color="auto"/>
      </w:divBdr>
    </w:div>
    <w:div w:id="1276984331">
      <w:bodyDiv w:val="1"/>
      <w:marLeft w:val="0"/>
      <w:marRight w:val="0"/>
      <w:marTop w:val="0"/>
      <w:marBottom w:val="0"/>
      <w:divBdr>
        <w:top w:val="none" w:sz="0" w:space="0" w:color="auto"/>
        <w:left w:val="none" w:sz="0" w:space="0" w:color="auto"/>
        <w:bottom w:val="none" w:sz="0" w:space="0" w:color="auto"/>
        <w:right w:val="none" w:sz="0" w:space="0" w:color="auto"/>
      </w:divBdr>
    </w:div>
    <w:div w:id="1334331455">
      <w:bodyDiv w:val="1"/>
      <w:marLeft w:val="0"/>
      <w:marRight w:val="0"/>
      <w:marTop w:val="0"/>
      <w:marBottom w:val="0"/>
      <w:divBdr>
        <w:top w:val="none" w:sz="0" w:space="0" w:color="auto"/>
        <w:left w:val="none" w:sz="0" w:space="0" w:color="auto"/>
        <w:bottom w:val="none" w:sz="0" w:space="0" w:color="auto"/>
        <w:right w:val="none" w:sz="0" w:space="0" w:color="auto"/>
      </w:divBdr>
    </w:div>
    <w:div w:id="1377389197">
      <w:bodyDiv w:val="1"/>
      <w:marLeft w:val="0"/>
      <w:marRight w:val="0"/>
      <w:marTop w:val="0"/>
      <w:marBottom w:val="0"/>
      <w:divBdr>
        <w:top w:val="none" w:sz="0" w:space="0" w:color="auto"/>
        <w:left w:val="none" w:sz="0" w:space="0" w:color="auto"/>
        <w:bottom w:val="none" w:sz="0" w:space="0" w:color="auto"/>
        <w:right w:val="none" w:sz="0" w:space="0" w:color="auto"/>
      </w:divBdr>
    </w:div>
    <w:div w:id="1562204340">
      <w:bodyDiv w:val="1"/>
      <w:marLeft w:val="0"/>
      <w:marRight w:val="0"/>
      <w:marTop w:val="0"/>
      <w:marBottom w:val="0"/>
      <w:divBdr>
        <w:top w:val="none" w:sz="0" w:space="0" w:color="auto"/>
        <w:left w:val="none" w:sz="0" w:space="0" w:color="auto"/>
        <w:bottom w:val="none" w:sz="0" w:space="0" w:color="auto"/>
        <w:right w:val="none" w:sz="0" w:space="0" w:color="auto"/>
      </w:divBdr>
    </w:div>
    <w:div w:id="1650550089">
      <w:bodyDiv w:val="1"/>
      <w:marLeft w:val="0"/>
      <w:marRight w:val="0"/>
      <w:marTop w:val="0"/>
      <w:marBottom w:val="0"/>
      <w:divBdr>
        <w:top w:val="none" w:sz="0" w:space="0" w:color="auto"/>
        <w:left w:val="none" w:sz="0" w:space="0" w:color="auto"/>
        <w:bottom w:val="none" w:sz="0" w:space="0" w:color="auto"/>
        <w:right w:val="none" w:sz="0" w:space="0" w:color="auto"/>
      </w:divBdr>
    </w:div>
    <w:div w:id="1680081366">
      <w:bodyDiv w:val="1"/>
      <w:marLeft w:val="0"/>
      <w:marRight w:val="0"/>
      <w:marTop w:val="0"/>
      <w:marBottom w:val="0"/>
      <w:divBdr>
        <w:top w:val="none" w:sz="0" w:space="0" w:color="auto"/>
        <w:left w:val="none" w:sz="0" w:space="0" w:color="auto"/>
        <w:bottom w:val="none" w:sz="0" w:space="0" w:color="auto"/>
        <w:right w:val="none" w:sz="0" w:space="0" w:color="auto"/>
      </w:divBdr>
    </w:div>
    <w:div w:id="1740320647">
      <w:bodyDiv w:val="1"/>
      <w:marLeft w:val="0"/>
      <w:marRight w:val="0"/>
      <w:marTop w:val="0"/>
      <w:marBottom w:val="0"/>
      <w:divBdr>
        <w:top w:val="none" w:sz="0" w:space="0" w:color="auto"/>
        <w:left w:val="none" w:sz="0" w:space="0" w:color="auto"/>
        <w:bottom w:val="none" w:sz="0" w:space="0" w:color="auto"/>
        <w:right w:val="none" w:sz="0" w:space="0" w:color="auto"/>
      </w:divBdr>
    </w:div>
    <w:div w:id="1780178167">
      <w:bodyDiv w:val="1"/>
      <w:marLeft w:val="0"/>
      <w:marRight w:val="0"/>
      <w:marTop w:val="0"/>
      <w:marBottom w:val="0"/>
      <w:divBdr>
        <w:top w:val="none" w:sz="0" w:space="0" w:color="auto"/>
        <w:left w:val="none" w:sz="0" w:space="0" w:color="auto"/>
        <w:bottom w:val="none" w:sz="0" w:space="0" w:color="auto"/>
        <w:right w:val="none" w:sz="0" w:space="0" w:color="auto"/>
      </w:divBdr>
    </w:div>
    <w:div w:id="1868715842">
      <w:bodyDiv w:val="1"/>
      <w:marLeft w:val="0"/>
      <w:marRight w:val="0"/>
      <w:marTop w:val="0"/>
      <w:marBottom w:val="0"/>
      <w:divBdr>
        <w:top w:val="none" w:sz="0" w:space="0" w:color="auto"/>
        <w:left w:val="none" w:sz="0" w:space="0" w:color="auto"/>
        <w:bottom w:val="none" w:sz="0" w:space="0" w:color="auto"/>
        <w:right w:val="none" w:sz="0" w:space="0" w:color="auto"/>
      </w:divBdr>
    </w:div>
    <w:div w:id="1951742464">
      <w:bodyDiv w:val="1"/>
      <w:marLeft w:val="0"/>
      <w:marRight w:val="0"/>
      <w:marTop w:val="0"/>
      <w:marBottom w:val="0"/>
      <w:divBdr>
        <w:top w:val="none" w:sz="0" w:space="0" w:color="auto"/>
        <w:left w:val="none" w:sz="0" w:space="0" w:color="auto"/>
        <w:bottom w:val="none" w:sz="0" w:space="0" w:color="auto"/>
        <w:right w:val="none" w:sz="0" w:space="0" w:color="auto"/>
      </w:divBdr>
    </w:div>
    <w:div w:id="1956209316">
      <w:bodyDiv w:val="1"/>
      <w:marLeft w:val="0"/>
      <w:marRight w:val="0"/>
      <w:marTop w:val="0"/>
      <w:marBottom w:val="0"/>
      <w:divBdr>
        <w:top w:val="none" w:sz="0" w:space="0" w:color="auto"/>
        <w:left w:val="none" w:sz="0" w:space="0" w:color="auto"/>
        <w:bottom w:val="none" w:sz="0" w:space="0" w:color="auto"/>
        <w:right w:val="none" w:sz="0" w:space="0" w:color="auto"/>
      </w:divBdr>
    </w:div>
    <w:div w:id="20947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1.jp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edson.higuti@bcb.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MSKTH6SNCJSU-234293521-52545</_dlc_DocId>
    <_dlc_DocIdUrl xmlns="806285ac-449a-4fb1-8311-58d88e150cc7">
      <Url>https://swiftcorp.sharepoint.com/sites/ps-ow-standards team/_layouts/15/DocIdRedir.aspx?ID=MSKTH6SNCJSU-234293521-52545</Url>
      <Description>MSKTH6SNCJSU-234293521-52545</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1E944C79-D697-4941-A839-CA956BB69CD1}"/>
</file>

<file path=customXml/itemProps3.xml><?xml version="1.0" encoding="utf-8"?>
<ds:datastoreItem xmlns:ds="http://schemas.openxmlformats.org/officeDocument/2006/customXml" ds:itemID="{0481EEC2-C01C-4BC0-97A9-792F682A25AC}"/>
</file>

<file path=customXml/itemProps4.xml><?xml version="1.0" encoding="utf-8"?>
<ds:datastoreItem xmlns:ds="http://schemas.openxmlformats.org/officeDocument/2006/customXml" ds:itemID="{F4884BE7-431F-4A28-8594-A654E0EAA768}"/>
</file>

<file path=customXml/itemProps5.xml><?xml version="1.0" encoding="utf-8"?>
<ds:datastoreItem xmlns:ds="http://schemas.openxmlformats.org/officeDocument/2006/customXml" ds:itemID="{D33F455F-6C15-4884-B8A2-F1ACD98A2385}"/>
</file>

<file path=docMetadata/LabelInfo.xml><?xml version="1.0" encoding="utf-8"?>
<clbl:labelList xmlns:clbl="http://schemas.microsoft.com/office/2020/mipLabelMetadata">
  <clbl:label id="{08af52eb-d54c-4fad-a68e-84ff3f406d9d}" enabled="1" method="Privileged" siteId="{45b55e44-3503-4284-bbe1-0e6bf9fa1d0a}" contentBits="0" removed="0"/>
  <clbl:label id="{2a7030a7-3850-453e-96b7-cd5f58ba9ec2}" enabled="0" method="" siteId="{2a7030a7-3850-453e-96b7-cd5f58ba9ec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1932</Words>
  <Characters>10241</Characters>
  <Application>Microsoft Office Word</Application>
  <DocSecurity>0</DocSecurity>
  <Lines>568</Lines>
  <Paragraphs>190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CHANGE REQUEST</vt:lpstr>
      <vt:lpstr>CHANGE REQUEST</vt:lpstr>
    </vt:vector>
  </TitlesOfParts>
  <Company>S.W.I.F.T. sc</Company>
  <LinksUpToDate>false</LinksUpToDate>
  <CharactersWithSpaces>11983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2026-06-03T11:35:00Z</dcterms:created>
  <dcterms:modified xsi:type="dcterms:W3CDTF">2026-06-03T11:35:00Z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cba22227-c479-4871-b33e-88aa30a4d2d5</vt:lpwstr>
  </property>
</Properties>
</file>