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AD723E3" w14:textId="77777777" w:rsidR="00021E80" w:rsidRDefault="00EE0A82" w:rsidP="003A053F">
            <w:pPr>
              <w:rPr>
                <w:b/>
                <w:bCs/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A71A37">
              <w:rPr>
                <w:shd w:val="clear" w:color="auto" w:fill="E7E6E6"/>
              </w:rPr>
              <w:t xml:space="preserve"> </w:t>
            </w:r>
            <w:r w:rsidR="00A71A37" w:rsidRPr="00A71A37">
              <w:rPr>
                <w:b/>
                <w:bCs/>
                <w:shd w:val="clear" w:color="auto" w:fill="E7E6E6"/>
              </w:rPr>
              <w:t>(AP+)</w:t>
            </w:r>
          </w:p>
          <w:p w14:paraId="496B9252" w14:textId="574A6149" w:rsidR="00A71A37" w:rsidRPr="00A71A37" w:rsidRDefault="00A71A37" w:rsidP="00A71A37">
            <w:pPr>
              <w:rPr>
                <w:shd w:val="clear" w:color="auto" w:fill="E7E6E6"/>
                <w:lang w:val="en-AU"/>
              </w:rPr>
            </w:pPr>
            <w:r w:rsidRPr="00A71A37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A71A37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1D44D315" w:rsidR="00A71A37" w:rsidRPr="00021E80" w:rsidRDefault="00A71A37" w:rsidP="003A053F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29DE1073" w:rsidR="00DD495F" w:rsidRPr="00974784" w:rsidRDefault="009B241A" w:rsidP="00974784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  <w:r w:rsidR="00DD495F">
              <w:rPr>
                <w:b w:val="0"/>
                <w:lang w:val="en-GB"/>
              </w:rPr>
              <w:t>,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5B831E0F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23B89164" w:rsidR="00CE2FCC" w:rsidRDefault="006C46EB" w:rsidP="00E46DB1">
            <w:r w:rsidRPr="006C46EB">
              <w:t>ExternalInvestigationAction1Code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22FD785E" w14:textId="77777777" w:rsidR="0061343A" w:rsidRDefault="0061343A" w:rsidP="0061343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To add a standard external investigation action code representing a request to reopen a previously closed case. Reopening a case is better represented as a requested action by the initiating party rather than as a standalone indicator. A new ExternalInvestigationAction1Code value would allow the intent to reopen a case to be expressed in </w:t>
            </w:r>
            <w:proofErr w:type="spellStart"/>
            <w:r>
              <w:rPr>
                <w:lang w:val="en-GB" w:eastAsia="en-GB"/>
              </w:rPr>
              <w:t>InvstgtnReq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ReqActn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Actn</w:t>
            </w:r>
            <w:proofErr w:type="spellEnd"/>
            <w:r>
              <w:rPr>
                <w:lang w:val="en-GB" w:eastAsia="en-GB"/>
              </w:rPr>
              <w:t>/Cd while preserving existing case correlation through requestor and responder investigation identifiers.</w:t>
            </w:r>
          </w:p>
          <w:p w14:paraId="7CD048BC" w14:textId="77777777" w:rsidR="003A053F" w:rsidRDefault="003A053F" w:rsidP="003A053F"/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2546DF2E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2342591C" w14:textId="77777777" w:rsidR="005064E5" w:rsidRDefault="005064E5" w:rsidP="005064E5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Example: a previously closed investigation case needs to be reopened. The requestor sends a camt.110 investigation request using the same </w:t>
            </w:r>
            <w:proofErr w:type="spellStart"/>
            <w:r>
              <w:rPr>
                <w:lang w:val="en-GB" w:eastAsia="en-GB"/>
              </w:rPr>
              <w:t>RqstrInvstgtnId</w:t>
            </w:r>
            <w:proofErr w:type="spellEnd"/>
            <w:r>
              <w:rPr>
                <w:lang w:val="en-GB" w:eastAsia="en-GB"/>
              </w:rPr>
              <w:t xml:space="preserve"> and, where available, the related </w:t>
            </w:r>
            <w:proofErr w:type="spellStart"/>
            <w:r>
              <w:rPr>
                <w:lang w:val="en-GB" w:eastAsia="en-GB"/>
              </w:rPr>
              <w:t>RspndrInvstgtnId</w:t>
            </w:r>
            <w:proofErr w:type="spellEnd"/>
            <w:r>
              <w:rPr>
                <w:lang w:val="en-GB" w:eastAsia="en-GB"/>
              </w:rPr>
              <w:t xml:space="preserve"> so that the responder can correlate the request with the previous case. The requested action is populated in </w:t>
            </w:r>
            <w:proofErr w:type="spellStart"/>
            <w:r>
              <w:rPr>
                <w:lang w:val="en-GB" w:eastAsia="en-GB"/>
              </w:rPr>
              <w:t>InvstgtnReq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ReqActn</w:t>
            </w:r>
            <w:proofErr w:type="spellEnd"/>
            <w:r>
              <w:rPr>
                <w:lang w:val="en-GB" w:eastAsia="en-GB"/>
              </w:rPr>
              <w:t>/</w:t>
            </w:r>
            <w:proofErr w:type="spellStart"/>
            <w:r>
              <w:rPr>
                <w:lang w:val="en-GB" w:eastAsia="en-GB"/>
              </w:rPr>
              <w:t>Actn</w:t>
            </w:r>
            <w:proofErr w:type="spellEnd"/>
            <w:r>
              <w:rPr>
                <w:lang w:val="en-GB" w:eastAsia="en-GB"/>
              </w:rPr>
              <w:t>/Cd with the new external code value for Reopen Case. This supports reuse of existing case data, avoids duplicate case creation and enables better case-management automation.</w:t>
            </w:r>
          </w:p>
          <w:p w14:paraId="5FDBEEED" w14:textId="77777777" w:rsidR="003A053F" w:rsidRDefault="003A053F" w:rsidP="00423B72"/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77777777" w:rsidR="00916A80" w:rsidRPr="00CD0854" w:rsidRDefault="00916A80" w:rsidP="003A053F"/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6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876"/>
        <w:gridCol w:w="3335"/>
        <w:gridCol w:w="4426"/>
        <w:gridCol w:w="1281"/>
        <w:gridCol w:w="5040"/>
      </w:tblGrid>
      <w:tr w:rsidR="00C26092" w:rsidRPr="00AF0DB5" w14:paraId="4C6F53AB" w14:textId="77777777" w:rsidTr="00465D81">
        <w:trPr>
          <w:trHeight w:val="303"/>
        </w:trPr>
        <w:tc>
          <w:tcPr>
            <w:tcW w:w="976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835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3180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426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21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040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465D81">
        <w:trPr>
          <w:trHeight w:val="303"/>
        </w:trPr>
        <w:tc>
          <w:tcPr>
            <w:tcW w:w="976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835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180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426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21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040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506B95" w:rsidRPr="00AF0DB5" w14:paraId="401467FA" w14:textId="77777777" w:rsidTr="00465D81">
        <w:trPr>
          <w:trHeight w:val="303"/>
        </w:trPr>
        <w:tc>
          <w:tcPr>
            <w:tcW w:w="976" w:type="dxa"/>
          </w:tcPr>
          <w:p w14:paraId="46573A39" w14:textId="35B16D49" w:rsidR="00506B95" w:rsidRPr="00981063" w:rsidRDefault="00506B95" w:rsidP="00506B95">
            <w:r>
              <w:rPr>
                <w:lang w:val="en-GB" w:eastAsia="en-GB"/>
              </w:rPr>
              <w:t>Addition</w:t>
            </w:r>
          </w:p>
        </w:tc>
        <w:tc>
          <w:tcPr>
            <w:tcW w:w="835" w:type="dxa"/>
            <w:noWrap/>
          </w:tcPr>
          <w:p w14:paraId="1B616BE9" w14:textId="72BA4862" w:rsidR="00506B95" w:rsidRPr="00981063" w:rsidRDefault="00506B95" w:rsidP="00506B95">
            <w:r>
              <w:rPr>
                <w:lang w:val="en-GB" w:eastAsia="en-GB"/>
              </w:rPr>
              <w:t>RQRO</w:t>
            </w:r>
          </w:p>
        </w:tc>
        <w:tc>
          <w:tcPr>
            <w:tcW w:w="3180" w:type="dxa"/>
            <w:noWrap/>
          </w:tcPr>
          <w:p w14:paraId="03757CE6" w14:textId="6F77C0A6" w:rsidR="00506B95" w:rsidRPr="00981063" w:rsidRDefault="00506B95" w:rsidP="00506B95">
            <w:proofErr w:type="spellStart"/>
            <w:r>
              <w:rPr>
                <w:lang w:val="en-GB" w:eastAsia="en-GB"/>
              </w:rPr>
              <w:t>RequestInvestigationReopening</w:t>
            </w:r>
            <w:proofErr w:type="spellEnd"/>
          </w:p>
        </w:tc>
        <w:tc>
          <w:tcPr>
            <w:tcW w:w="4426" w:type="dxa"/>
            <w:noWrap/>
          </w:tcPr>
          <w:p w14:paraId="4D454052" w14:textId="6026939E" w:rsidR="00506B95" w:rsidRPr="00981063" w:rsidRDefault="00506B95" w:rsidP="00506B95">
            <w:r>
              <w:rPr>
                <w:lang w:val="en-GB" w:eastAsia="en-GB"/>
              </w:rPr>
              <w:t>Responder is requested to reopen the investigation.</w:t>
            </w:r>
          </w:p>
        </w:tc>
        <w:tc>
          <w:tcPr>
            <w:tcW w:w="1221" w:type="dxa"/>
            <w:noWrap/>
          </w:tcPr>
          <w:p w14:paraId="74C16F8A" w14:textId="42FA0338" w:rsidR="00506B95" w:rsidRPr="00981063" w:rsidRDefault="00506B95" w:rsidP="00506B95">
            <w:r>
              <w:rPr>
                <w:lang w:val="en-GB" w:eastAsia="en-GB"/>
              </w:rPr>
              <w:t>N/A</w:t>
            </w:r>
          </w:p>
        </w:tc>
        <w:tc>
          <w:tcPr>
            <w:tcW w:w="5040" w:type="dxa"/>
            <w:noWrap/>
          </w:tcPr>
          <w:p w14:paraId="3BE0F499" w14:textId="0C5A47A0" w:rsidR="00506B95" w:rsidRPr="00D740A6" w:rsidRDefault="00506B95" w:rsidP="00506B95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N/A</w:t>
            </w:r>
          </w:p>
        </w:tc>
      </w:tr>
      <w:tr w:rsidR="00C26092" w:rsidRPr="00AF0DB5" w14:paraId="6DF23ECD" w14:textId="77777777" w:rsidTr="00465D81">
        <w:trPr>
          <w:trHeight w:val="303"/>
        </w:trPr>
        <w:tc>
          <w:tcPr>
            <w:tcW w:w="976" w:type="dxa"/>
          </w:tcPr>
          <w:p w14:paraId="69E5A5DA" w14:textId="77777777" w:rsidR="00C26092" w:rsidRPr="00981063" w:rsidRDefault="00C26092" w:rsidP="003A053F"/>
        </w:tc>
        <w:tc>
          <w:tcPr>
            <w:tcW w:w="835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3180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426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221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040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465D81">
        <w:trPr>
          <w:trHeight w:val="303"/>
        </w:trPr>
        <w:tc>
          <w:tcPr>
            <w:tcW w:w="976" w:type="dxa"/>
          </w:tcPr>
          <w:p w14:paraId="016028A6" w14:textId="77777777" w:rsidR="00C26092" w:rsidRPr="00981063" w:rsidRDefault="00C26092" w:rsidP="003A053F"/>
        </w:tc>
        <w:tc>
          <w:tcPr>
            <w:tcW w:w="835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3180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426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221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040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465D81">
        <w:trPr>
          <w:trHeight w:val="303"/>
        </w:trPr>
        <w:tc>
          <w:tcPr>
            <w:tcW w:w="976" w:type="dxa"/>
          </w:tcPr>
          <w:p w14:paraId="6127FEB4" w14:textId="77777777" w:rsidR="00C26092" w:rsidRPr="00981063" w:rsidRDefault="00C26092" w:rsidP="003A053F"/>
        </w:tc>
        <w:tc>
          <w:tcPr>
            <w:tcW w:w="835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3180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426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221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040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465D81">
        <w:trPr>
          <w:trHeight w:val="303"/>
        </w:trPr>
        <w:tc>
          <w:tcPr>
            <w:tcW w:w="976" w:type="dxa"/>
          </w:tcPr>
          <w:p w14:paraId="2ABAD94F" w14:textId="77777777" w:rsidR="00C26092" w:rsidRPr="00981063" w:rsidRDefault="00C26092" w:rsidP="003A053F"/>
        </w:tc>
        <w:tc>
          <w:tcPr>
            <w:tcW w:w="835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3180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426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221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040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465D81">
        <w:trPr>
          <w:trHeight w:val="303"/>
        </w:trPr>
        <w:tc>
          <w:tcPr>
            <w:tcW w:w="976" w:type="dxa"/>
          </w:tcPr>
          <w:p w14:paraId="0CE0D2FF" w14:textId="77777777" w:rsidR="00C26092" w:rsidRPr="00981063" w:rsidRDefault="00C26092" w:rsidP="003A053F"/>
        </w:tc>
        <w:tc>
          <w:tcPr>
            <w:tcW w:w="835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3180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426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221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040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465D81">
        <w:trPr>
          <w:trHeight w:val="303"/>
        </w:trPr>
        <w:tc>
          <w:tcPr>
            <w:tcW w:w="976" w:type="dxa"/>
          </w:tcPr>
          <w:p w14:paraId="37339837" w14:textId="77777777" w:rsidR="00C26092" w:rsidRPr="00981063" w:rsidRDefault="00C26092" w:rsidP="003A053F"/>
        </w:tc>
        <w:tc>
          <w:tcPr>
            <w:tcW w:w="835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3180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426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221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040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465D81">
        <w:trPr>
          <w:trHeight w:val="303"/>
        </w:trPr>
        <w:tc>
          <w:tcPr>
            <w:tcW w:w="976" w:type="dxa"/>
          </w:tcPr>
          <w:p w14:paraId="05B15506" w14:textId="77777777" w:rsidR="00C26092" w:rsidRPr="00981063" w:rsidRDefault="00C26092" w:rsidP="003A053F"/>
        </w:tc>
        <w:tc>
          <w:tcPr>
            <w:tcW w:w="835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3180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426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221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040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465D81">
        <w:trPr>
          <w:trHeight w:val="303"/>
        </w:trPr>
        <w:tc>
          <w:tcPr>
            <w:tcW w:w="976" w:type="dxa"/>
          </w:tcPr>
          <w:p w14:paraId="3AE53EA1" w14:textId="77777777" w:rsidR="00C26092" w:rsidRPr="00981063" w:rsidRDefault="00C26092" w:rsidP="003A053F"/>
        </w:tc>
        <w:tc>
          <w:tcPr>
            <w:tcW w:w="835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3180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426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221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040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465D81">
        <w:trPr>
          <w:trHeight w:val="303"/>
        </w:trPr>
        <w:tc>
          <w:tcPr>
            <w:tcW w:w="976" w:type="dxa"/>
          </w:tcPr>
          <w:p w14:paraId="6884EC88" w14:textId="77777777" w:rsidR="00C26092" w:rsidRPr="00981063" w:rsidRDefault="00C26092" w:rsidP="003A053F"/>
        </w:tc>
        <w:tc>
          <w:tcPr>
            <w:tcW w:w="835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3180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426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221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040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06FF" w14:textId="77777777" w:rsidR="00F70A70" w:rsidRDefault="00F70A70" w:rsidP="003A053F">
      <w:r>
        <w:separator/>
      </w:r>
    </w:p>
  </w:endnote>
  <w:endnote w:type="continuationSeparator" w:id="0">
    <w:p w14:paraId="5C83FA1D" w14:textId="77777777" w:rsidR="00F70A70" w:rsidRDefault="00F70A7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6AEEC5F7" w:rsidR="00CC5C74" w:rsidRDefault="00F57134" w:rsidP="003A053F">
    <w:pPr>
      <w:pStyle w:val="Footer"/>
    </w:pPr>
    <w:r>
      <w:t>CR1619_APPlus_ExternalInvestigationActionCode_v1.docx</w:t>
    </w:r>
    <w:r w:rsidR="005C420B">
      <w:t xml:space="preserve">   </w:t>
    </w:r>
    <w:r w:rsidR="00AF0DB5">
      <w:tab/>
    </w:r>
    <w:r w:rsidR="00CC5C74">
      <w:t>Produced b</w:t>
    </w:r>
    <w:r>
      <w:t>y Australian Payments Plus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34B2" w14:textId="77777777" w:rsidR="00F70A70" w:rsidRDefault="00F70A70" w:rsidP="003A053F">
      <w:r>
        <w:separator/>
      </w:r>
    </w:p>
  </w:footnote>
  <w:footnote w:type="continuationSeparator" w:id="0">
    <w:p w14:paraId="07C6C67C" w14:textId="77777777" w:rsidR="00F70A70" w:rsidRDefault="00F70A7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A78C" w14:textId="54A0DFED" w:rsidR="00D75A2A" w:rsidRDefault="00F57134">
    <w:pPr>
      <w:pStyle w:val="Header"/>
    </w:pPr>
    <w:r>
      <w:t>RA ID: CR1619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5252D"/>
    <w:rsid w:val="00462051"/>
    <w:rsid w:val="00465900"/>
    <w:rsid w:val="00465D81"/>
    <w:rsid w:val="00473145"/>
    <w:rsid w:val="004B5A22"/>
    <w:rsid w:val="004C3B58"/>
    <w:rsid w:val="004E1F21"/>
    <w:rsid w:val="004F0578"/>
    <w:rsid w:val="004F0934"/>
    <w:rsid w:val="004F61D5"/>
    <w:rsid w:val="0050171A"/>
    <w:rsid w:val="005064E5"/>
    <w:rsid w:val="00506B95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1343A"/>
    <w:rsid w:val="00622329"/>
    <w:rsid w:val="00631A43"/>
    <w:rsid w:val="00633EA4"/>
    <w:rsid w:val="006643DC"/>
    <w:rsid w:val="006935EA"/>
    <w:rsid w:val="006A02BC"/>
    <w:rsid w:val="006A7B96"/>
    <w:rsid w:val="006B20DC"/>
    <w:rsid w:val="006C46EB"/>
    <w:rsid w:val="006D4A37"/>
    <w:rsid w:val="006F2DBB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47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2AB9"/>
    <w:rsid w:val="008869D6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072F"/>
    <w:rsid w:val="00942150"/>
    <w:rsid w:val="00951C86"/>
    <w:rsid w:val="00956D7A"/>
    <w:rsid w:val="00966046"/>
    <w:rsid w:val="00974784"/>
    <w:rsid w:val="009770EE"/>
    <w:rsid w:val="00981063"/>
    <w:rsid w:val="009B241A"/>
    <w:rsid w:val="009C1445"/>
    <w:rsid w:val="00A21B8D"/>
    <w:rsid w:val="00A25B84"/>
    <w:rsid w:val="00A46877"/>
    <w:rsid w:val="00A47C6F"/>
    <w:rsid w:val="00A5492F"/>
    <w:rsid w:val="00A60DC3"/>
    <w:rsid w:val="00A60E56"/>
    <w:rsid w:val="00A71A37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4DEE"/>
    <w:rsid w:val="00B45490"/>
    <w:rsid w:val="00B51210"/>
    <w:rsid w:val="00B5520C"/>
    <w:rsid w:val="00B70B84"/>
    <w:rsid w:val="00B778B4"/>
    <w:rsid w:val="00B8244D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E0A82"/>
    <w:rsid w:val="00EE1096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57134"/>
    <w:rsid w:val="00F62A6F"/>
    <w:rsid w:val="00F6410E"/>
    <w:rsid w:val="00F70A70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2FF7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MSKTH6SNCJSU-234293521-52539</_dlc_DocId>
    <_dlc_DocIdUrl xmlns="806285ac-449a-4fb1-8311-58d88e150cc7">
      <Url>https://swiftcorp.sharepoint.com/sites/ps-ow-standards team/_layouts/15/DocIdRedir.aspx?ID=MSKTH6SNCJSU-234293521-52539</Url>
      <Description>MSKTH6SNCJSU-234293521-52539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80E68-18DC-4E49-8219-48F2C6824BEA}"/>
</file>

<file path=customXml/itemProps3.xml><?xml version="1.0" encoding="utf-8"?>
<ds:datastoreItem xmlns:ds="http://schemas.openxmlformats.org/officeDocument/2006/customXml" ds:itemID="{5EEC8532-B824-4FAD-84F1-5359B6B9FE65}"/>
</file>

<file path=customXml/itemProps4.xml><?xml version="1.0" encoding="utf-8"?>
<ds:datastoreItem xmlns:ds="http://schemas.openxmlformats.org/officeDocument/2006/customXml" ds:itemID="{ECBFD44F-390B-4A69-88BC-CA5F7C781EDF}"/>
</file>

<file path=customXml/itemProps5.xml><?xml version="1.0" encoding="utf-8"?>
<ds:datastoreItem xmlns:ds="http://schemas.openxmlformats.org/officeDocument/2006/customXml" ds:itemID="{5A9084D4-6F0B-4280-AED5-4E0806524DC5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defa4170-0d19-0005-0004-bc88714345d2}" enabled="1" method="Standard" siteId="{35878a50-5afb-4676-86d2-a2ba20335a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812</Words>
  <Characters>4596</Characters>
  <Application>Microsoft Office Word</Application>
  <DocSecurity>0</DocSecurity>
  <Lines>218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5330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2026-06-03T09:17:00Z</dcterms:created>
  <dcterms:modified xsi:type="dcterms:W3CDTF">2026-06-03T09:18:00Z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6ff7c2f3-f0b3-414b-9b26-4361b810e0c0</vt:lpwstr>
  </property>
</Properties>
</file>