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24E86DB0" w14:textId="1861E516" w:rsidR="00021E80" w:rsidRPr="00F70DAC" w:rsidRDefault="00EE0A82" w:rsidP="003A053F">
            <w:pPr>
              <w:rPr>
                <w:b/>
                <w:bCs/>
                <w:shd w:val="clear" w:color="auto" w:fill="E7E6E6"/>
              </w:rPr>
            </w:pPr>
            <w:r w:rsidRPr="00F70DAC">
              <w:rPr>
                <w:shd w:val="clear" w:color="auto" w:fill="E7E6E6"/>
              </w:rPr>
              <w:t>Australian Payments Plus</w:t>
            </w:r>
            <w:r w:rsidR="00DF41FD" w:rsidRPr="00F70DAC">
              <w:rPr>
                <w:shd w:val="clear" w:color="auto" w:fill="E7E6E6"/>
              </w:rPr>
              <w:t xml:space="preserve"> </w:t>
            </w:r>
            <w:r w:rsidR="00DF41FD" w:rsidRPr="00F70DAC">
              <w:rPr>
                <w:b/>
                <w:bCs/>
                <w:shd w:val="clear" w:color="auto" w:fill="E7E6E6"/>
              </w:rPr>
              <w:t>(AP+)</w:t>
            </w:r>
          </w:p>
          <w:p w14:paraId="714069C0" w14:textId="7AA505C1" w:rsidR="0018031F" w:rsidRPr="0018031F" w:rsidRDefault="0018031F" w:rsidP="0018031F">
            <w:pPr>
              <w:rPr>
                <w:shd w:val="clear" w:color="auto" w:fill="E7E6E6"/>
                <w:lang w:val="en-AU"/>
              </w:rPr>
            </w:pPr>
            <w:r w:rsidRPr="00F70DAC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F70DAC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3EA7680A" w:rsidR="0018031F" w:rsidRPr="00021E80" w:rsidRDefault="0018031F" w:rsidP="003A053F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7C97ADE1" w:rsidR="00DD495F" w:rsidRPr="00561039" w:rsidRDefault="009B241A" w:rsidP="00561039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  <w:r w:rsidR="00DD495F">
              <w:rPr>
                <w:b w:val="0"/>
                <w:lang w:val="en-GB"/>
              </w:rPr>
              <w:t>,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7829EB8A" w:rsidR="00021E80" w:rsidRPr="00021E80" w:rsidRDefault="00DD495F" w:rsidP="00F70DAC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59492F57" w14:textId="77777777" w:rsidR="00977C2E" w:rsidRDefault="00EB18DE" w:rsidP="00977C2E">
            <w:pPr>
              <w:pStyle w:val="Heading3"/>
            </w:pPr>
            <w:r>
              <w:lastRenderedPageBreak/>
              <w:t>Swift</w:t>
            </w:r>
          </w:p>
          <w:p w14:paraId="65F51533" w14:textId="1ADE32A2" w:rsidR="00977C2E" w:rsidRPr="00DD495F" w:rsidRDefault="00977C2E" w:rsidP="00977C2E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nicole.jolliffe@swift.com</w:t>
            </w:r>
          </w:p>
          <w:p w14:paraId="2B0AD61B" w14:textId="063B34E0" w:rsidR="003A053F" w:rsidRDefault="00977C2E" w:rsidP="00977C2E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7B3E0EAE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7F0A9F0B" w:rsidR="00CE2FCC" w:rsidRDefault="00977C2E" w:rsidP="00E46DB1">
            <w:r>
              <w:t>ExternalOrganisationIdentification1Code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7CD048BC" w14:textId="1854F41F" w:rsidR="003A053F" w:rsidRDefault="00A65345" w:rsidP="003A053F">
            <w:r>
              <w:t xml:space="preserve">To add a standard external code value that qualifies a Merchant Category Code (MCC) when an </w:t>
            </w:r>
            <w:proofErr w:type="spellStart"/>
            <w:r>
              <w:t>organisation</w:t>
            </w:r>
            <w:proofErr w:type="spellEnd"/>
            <w:r>
              <w:t xml:space="preserve"> identification is used to carry merchant classification. MCC is currently represented through 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 xml:space="preserve">/Id with scheme-specific or proprietary guidance. Using an external </w:t>
            </w:r>
            <w:proofErr w:type="spellStart"/>
            <w:r>
              <w:t>organisation</w:t>
            </w:r>
            <w:proofErr w:type="spellEnd"/>
            <w:r>
              <w:t xml:space="preserve"> identification scheme code would provide a more </w:t>
            </w:r>
            <w:proofErr w:type="spellStart"/>
            <w:r>
              <w:t>standardised</w:t>
            </w:r>
            <w:proofErr w:type="spellEnd"/>
            <w:r>
              <w:t xml:space="preserve"> way to identify that the value is an MCC, including MCCs stipulated under AS2805.16. This supports interoperability, reporting, downstream processing, fraud/scam monitoring and more effective payer participant screening for eCommerce and other high-risk transaction types.</w:t>
            </w: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17913346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5FDBEEED" w14:textId="054CB669" w:rsidR="003A053F" w:rsidRDefault="009F32F2" w:rsidP="00423B72">
            <w:r>
              <w:t xml:space="preserve">Example: Cameron, as payer customer, </w:t>
            </w:r>
            <w:proofErr w:type="spellStart"/>
            <w:r>
              <w:t>authorises</w:t>
            </w:r>
            <w:proofErr w:type="spellEnd"/>
            <w:r>
              <w:t xml:space="preserve"> a </w:t>
            </w:r>
            <w:proofErr w:type="spellStart"/>
            <w:r>
              <w:t>PayTo</w:t>
            </w:r>
            <w:proofErr w:type="spellEnd"/>
            <w:r>
              <w:t xml:space="preserve"> (</w:t>
            </w:r>
            <w:r w:rsidR="00A55F68">
              <w:t xml:space="preserve">mandate) </w:t>
            </w:r>
            <w:r>
              <w:t xml:space="preserve">agreement with </w:t>
            </w:r>
            <w:proofErr w:type="spellStart"/>
            <w:r>
              <w:t>OzzyBet</w:t>
            </w:r>
            <w:proofErr w:type="spellEnd"/>
            <w:r>
              <w:t xml:space="preserve"> as initiating party for a gambling payment. The mandate purpose code is GAMP. The </w:t>
            </w:r>
            <w:r w:rsidR="00A55F68">
              <w:t>payment initiation request</w:t>
            </w:r>
            <w:r>
              <w:t xml:space="preserve"> carries Creditor </w:t>
            </w:r>
            <w:proofErr w:type="spellStart"/>
            <w:r>
              <w:t>Organisation</w:t>
            </w:r>
            <w:proofErr w:type="spellEnd"/>
            <w:r>
              <w:t xml:space="preserve"> ID = 7995. The new external code would qualify those </w:t>
            </w:r>
            <w:proofErr w:type="spellStart"/>
            <w:r>
              <w:t>organisation</w:t>
            </w:r>
            <w:proofErr w:type="spellEnd"/>
            <w:r>
              <w:t xml:space="preserve"> identification values as MCC values.</w:t>
            </w: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8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876"/>
        <w:gridCol w:w="2552"/>
        <w:gridCol w:w="4667"/>
        <w:gridCol w:w="1281"/>
        <w:gridCol w:w="5674"/>
      </w:tblGrid>
      <w:tr w:rsidR="00C26092" w:rsidRPr="00AF0DB5" w14:paraId="4C6F53AB" w14:textId="77777777" w:rsidTr="00586397">
        <w:trPr>
          <w:trHeight w:val="301"/>
        </w:trPr>
        <w:tc>
          <w:tcPr>
            <w:tcW w:w="989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861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2465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667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37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674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586397">
        <w:trPr>
          <w:trHeight w:val="301"/>
        </w:trPr>
        <w:tc>
          <w:tcPr>
            <w:tcW w:w="989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861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2465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667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37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74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0449DD" w:rsidRPr="00AF0DB5" w14:paraId="401467FA" w14:textId="77777777" w:rsidTr="00586397">
        <w:trPr>
          <w:trHeight w:val="301"/>
        </w:trPr>
        <w:tc>
          <w:tcPr>
            <w:tcW w:w="989" w:type="dxa"/>
          </w:tcPr>
          <w:p w14:paraId="46573A39" w14:textId="1BC28F5A" w:rsidR="000449DD" w:rsidRPr="00981063" w:rsidRDefault="000449DD" w:rsidP="000449DD">
            <w:r w:rsidRPr="00074B9F">
              <w:t>Addition</w:t>
            </w:r>
          </w:p>
        </w:tc>
        <w:tc>
          <w:tcPr>
            <w:tcW w:w="861" w:type="dxa"/>
            <w:noWrap/>
          </w:tcPr>
          <w:p w14:paraId="1B616BE9" w14:textId="2A3411DB" w:rsidR="000449DD" w:rsidRPr="00981063" w:rsidRDefault="000449DD" w:rsidP="000449DD">
            <w:r>
              <w:t>MCCD</w:t>
            </w:r>
          </w:p>
        </w:tc>
        <w:tc>
          <w:tcPr>
            <w:tcW w:w="2465" w:type="dxa"/>
            <w:noWrap/>
          </w:tcPr>
          <w:p w14:paraId="03757CE6" w14:textId="057228BD" w:rsidR="000449DD" w:rsidRPr="00981063" w:rsidRDefault="000449DD" w:rsidP="000449DD">
            <w:proofErr w:type="spellStart"/>
            <w:r>
              <w:t>MerchantCategoryCode</w:t>
            </w:r>
            <w:proofErr w:type="spellEnd"/>
          </w:p>
        </w:tc>
        <w:tc>
          <w:tcPr>
            <w:tcW w:w="4667" w:type="dxa"/>
            <w:noWrap/>
          </w:tcPr>
          <w:p w14:paraId="4D454052" w14:textId="7A97B0FD" w:rsidR="000449DD" w:rsidRPr="00981063" w:rsidRDefault="000449DD" w:rsidP="000449DD">
            <w:r>
              <w:t xml:space="preserve">Identifies an </w:t>
            </w:r>
            <w:proofErr w:type="spellStart"/>
            <w:r>
              <w:t>organisation</w:t>
            </w:r>
            <w:proofErr w:type="spellEnd"/>
            <w:r>
              <w:t xml:space="preserve"> by a merchant category code assigned to describe the nature of the business conducted by the Business Customer.</w:t>
            </w:r>
          </w:p>
        </w:tc>
        <w:tc>
          <w:tcPr>
            <w:tcW w:w="1237" w:type="dxa"/>
            <w:noWrap/>
          </w:tcPr>
          <w:p w14:paraId="74C16F8A" w14:textId="0DEB2C3A" w:rsidR="000449DD" w:rsidRPr="00981063" w:rsidRDefault="000449DD" w:rsidP="000449DD">
            <w:r>
              <w:t>N/A</w:t>
            </w:r>
          </w:p>
        </w:tc>
        <w:tc>
          <w:tcPr>
            <w:tcW w:w="5674" w:type="dxa"/>
            <w:noWrap/>
          </w:tcPr>
          <w:p w14:paraId="3BE0F499" w14:textId="120C5CBB" w:rsidR="000449DD" w:rsidRPr="00D740A6" w:rsidRDefault="000449DD" w:rsidP="000449DD">
            <w:pPr>
              <w:rPr>
                <w:shd w:val="clear" w:color="auto" w:fill="E7E6E6"/>
              </w:rPr>
            </w:pPr>
            <w:r>
              <w:t>For Australian NPP usage, the code is based on the merchant category code set referenced as AS2805.16, Australian Standard AS2805 part 16, and should be aligned with ISO 18245:2023, Retail financial services — Merchant category codes, where adopted in Australia as an identical adoption under AS ISO 18245.</w:t>
            </w:r>
          </w:p>
        </w:tc>
      </w:tr>
      <w:tr w:rsidR="000449DD" w:rsidRPr="00AF0DB5" w14:paraId="6DF23ECD" w14:textId="77777777" w:rsidTr="00586397">
        <w:trPr>
          <w:trHeight w:val="301"/>
        </w:trPr>
        <w:tc>
          <w:tcPr>
            <w:tcW w:w="989" w:type="dxa"/>
          </w:tcPr>
          <w:p w14:paraId="69E5A5DA" w14:textId="77777777" w:rsidR="000449DD" w:rsidRPr="00981063" w:rsidRDefault="000449DD" w:rsidP="000449DD"/>
        </w:tc>
        <w:tc>
          <w:tcPr>
            <w:tcW w:w="861" w:type="dxa"/>
            <w:noWrap/>
          </w:tcPr>
          <w:p w14:paraId="2A1899B4" w14:textId="77777777" w:rsidR="000449DD" w:rsidRPr="00981063" w:rsidRDefault="000449DD" w:rsidP="000449DD"/>
        </w:tc>
        <w:tc>
          <w:tcPr>
            <w:tcW w:w="2465" w:type="dxa"/>
            <w:noWrap/>
          </w:tcPr>
          <w:p w14:paraId="0CCD4B63" w14:textId="77777777" w:rsidR="000449DD" w:rsidRPr="00981063" w:rsidRDefault="000449DD" w:rsidP="000449DD"/>
        </w:tc>
        <w:tc>
          <w:tcPr>
            <w:tcW w:w="4667" w:type="dxa"/>
            <w:noWrap/>
          </w:tcPr>
          <w:p w14:paraId="3AD1C2E6" w14:textId="77777777" w:rsidR="000449DD" w:rsidRPr="00981063" w:rsidRDefault="000449DD" w:rsidP="000449DD"/>
        </w:tc>
        <w:tc>
          <w:tcPr>
            <w:tcW w:w="1237" w:type="dxa"/>
            <w:noWrap/>
          </w:tcPr>
          <w:p w14:paraId="1C2EB24C" w14:textId="77777777" w:rsidR="000449DD" w:rsidRPr="00981063" w:rsidRDefault="000449DD" w:rsidP="000449DD"/>
        </w:tc>
        <w:tc>
          <w:tcPr>
            <w:tcW w:w="5674" w:type="dxa"/>
            <w:noWrap/>
          </w:tcPr>
          <w:p w14:paraId="467ABEB0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54371B87" w14:textId="77777777" w:rsidTr="00586397">
        <w:trPr>
          <w:trHeight w:val="301"/>
        </w:trPr>
        <w:tc>
          <w:tcPr>
            <w:tcW w:w="989" w:type="dxa"/>
          </w:tcPr>
          <w:p w14:paraId="016028A6" w14:textId="77777777" w:rsidR="000449DD" w:rsidRPr="00981063" w:rsidRDefault="000449DD" w:rsidP="000449DD"/>
        </w:tc>
        <w:tc>
          <w:tcPr>
            <w:tcW w:w="861" w:type="dxa"/>
            <w:noWrap/>
          </w:tcPr>
          <w:p w14:paraId="61042A9D" w14:textId="77777777" w:rsidR="000449DD" w:rsidRPr="00981063" w:rsidRDefault="000449DD" w:rsidP="000449DD"/>
        </w:tc>
        <w:tc>
          <w:tcPr>
            <w:tcW w:w="2465" w:type="dxa"/>
            <w:noWrap/>
          </w:tcPr>
          <w:p w14:paraId="77E3BFB8" w14:textId="77777777" w:rsidR="000449DD" w:rsidRPr="00981063" w:rsidRDefault="000449DD" w:rsidP="000449DD"/>
        </w:tc>
        <w:tc>
          <w:tcPr>
            <w:tcW w:w="4667" w:type="dxa"/>
            <w:noWrap/>
          </w:tcPr>
          <w:p w14:paraId="773EF6B8" w14:textId="77777777" w:rsidR="000449DD" w:rsidRPr="00981063" w:rsidRDefault="000449DD" w:rsidP="000449DD"/>
        </w:tc>
        <w:tc>
          <w:tcPr>
            <w:tcW w:w="1237" w:type="dxa"/>
            <w:noWrap/>
          </w:tcPr>
          <w:p w14:paraId="458BDADE" w14:textId="77777777" w:rsidR="000449DD" w:rsidRPr="00981063" w:rsidRDefault="000449DD" w:rsidP="000449DD"/>
        </w:tc>
        <w:tc>
          <w:tcPr>
            <w:tcW w:w="5674" w:type="dxa"/>
            <w:noWrap/>
          </w:tcPr>
          <w:p w14:paraId="21585164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2D51807C" w14:textId="77777777" w:rsidTr="00586397">
        <w:trPr>
          <w:trHeight w:val="301"/>
        </w:trPr>
        <w:tc>
          <w:tcPr>
            <w:tcW w:w="989" w:type="dxa"/>
          </w:tcPr>
          <w:p w14:paraId="6127FEB4" w14:textId="77777777" w:rsidR="000449DD" w:rsidRPr="00981063" w:rsidRDefault="000449DD" w:rsidP="000449DD"/>
        </w:tc>
        <w:tc>
          <w:tcPr>
            <w:tcW w:w="861" w:type="dxa"/>
            <w:noWrap/>
          </w:tcPr>
          <w:p w14:paraId="56633879" w14:textId="77777777" w:rsidR="000449DD" w:rsidRPr="00981063" w:rsidRDefault="000449DD" w:rsidP="000449DD"/>
        </w:tc>
        <w:tc>
          <w:tcPr>
            <w:tcW w:w="2465" w:type="dxa"/>
            <w:noWrap/>
          </w:tcPr>
          <w:p w14:paraId="377A682D" w14:textId="77777777" w:rsidR="000449DD" w:rsidRPr="00981063" w:rsidRDefault="000449DD" w:rsidP="000449DD"/>
        </w:tc>
        <w:tc>
          <w:tcPr>
            <w:tcW w:w="4667" w:type="dxa"/>
            <w:noWrap/>
          </w:tcPr>
          <w:p w14:paraId="6DFB679A" w14:textId="77777777" w:rsidR="000449DD" w:rsidRPr="00981063" w:rsidRDefault="000449DD" w:rsidP="000449DD"/>
        </w:tc>
        <w:tc>
          <w:tcPr>
            <w:tcW w:w="1237" w:type="dxa"/>
            <w:noWrap/>
          </w:tcPr>
          <w:p w14:paraId="60C2764E" w14:textId="77777777" w:rsidR="000449DD" w:rsidRPr="00981063" w:rsidRDefault="000449DD" w:rsidP="000449DD"/>
        </w:tc>
        <w:tc>
          <w:tcPr>
            <w:tcW w:w="5674" w:type="dxa"/>
            <w:noWrap/>
          </w:tcPr>
          <w:p w14:paraId="1F4175D0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44EB2B16" w14:textId="77777777" w:rsidTr="00586397">
        <w:trPr>
          <w:trHeight w:val="301"/>
        </w:trPr>
        <w:tc>
          <w:tcPr>
            <w:tcW w:w="989" w:type="dxa"/>
          </w:tcPr>
          <w:p w14:paraId="2ABAD94F" w14:textId="77777777" w:rsidR="000449DD" w:rsidRPr="00981063" w:rsidRDefault="000449DD" w:rsidP="000449DD"/>
        </w:tc>
        <w:tc>
          <w:tcPr>
            <w:tcW w:w="861" w:type="dxa"/>
            <w:noWrap/>
          </w:tcPr>
          <w:p w14:paraId="5D2F7162" w14:textId="77777777" w:rsidR="000449DD" w:rsidRPr="00981063" w:rsidRDefault="000449DD" w:rsidP="000449DD"/>
        </w:tc>
        <w:tc>
          <w:tcPr>
            <w:tcW w:w="2465" w:type="dxa"/>
            <w:noWrap/>
          </w:tcPr>
          <w:p w14:paraId="001D9399" w14:textId="77777777" w:rsidR="000449DD" w:rsidRPr="00981063" w:rsidRDefault="000449DD" w:rsidP="000449DD"/>
        </w:tc>
        <w:tc>
          <w:tcPr>
            <w:tcW w:w="4667" w:type="dxa"/>
            <w:noWrap/>
          </w:tcPr>
          <w:p w14:paraId="09B403A4" w14:textId="77777777" w:rsidR="000449DD" w:rsidRPr="00981063" w:rsidRDefault="000449DD" w:rsidP="000449DD"/>
        </w:tc>
        <w:tc>
          <w:tcPr>
            <w:tcW w:w="1237" w:type="dxa"/>
            <w:noWrap/>
          </w:tcPr>
          <w:p w14:paraId="59FC60C0" w14:textId="77777777" w:rsidR="000449DD" w:rsidRPr="00981063" w:rsidRDefault="000449DD" w:rsidP="000449DD"/>
        </w:tc>
        <w:tc>
          <w:tcPr>
            <w:tcW w:w="5674" w:type="dxa"/>
            <w:noWrap/>
          </w:tcPr>
          <w:p w14:paraId="42189A7B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6AAE2E50" w14:textId="77777777" w:rsidTr="00586397">
        <w:trPr>
          <w:trHeight w:val="301"/>
        </w:trPr>
        <w:tc>
          <w:tcPr>
            <w:tcW w:w="989" w:type="dxa"/>
          </w:tcPr>
          <w:p w14:paraId="0CE0D2FF" w14:textId="77777777" w:rsidR="000449DD" w:rsidRPr="00981063" w:rsidRDefault="000449DD" w:rsidP="000449DD"/>
        </w:tc>
        <w:tc>
          <w:tcPr>
            <w:tcW w:w="861" w:type="dxa"/>
            <w:noWrap/>
          </w:tcPr>
          <w:p w14:paraId="280B389C" w14:textId="77777777" w:rsidR="000449DD" w:rsidRPr="00981063" w:rsidRDefault="000449DD" w:rsidP="000449DD"/>
        </w:tc>
        <w:tc>
          <w:tcPr>
            <w:tcW w:w="2465" w:type="dxa"/>
            <w:noWrap/>
          </w:tcPr>
          <w:p w14:paraId="51878672" w14:textId="77777777" w:rsidR="000449DD" w:rsidRPr="00981063" w:rsidRDefault="000449DD" w:rsidP="000449DD"/>
        </w:tc>
        <w:tc>
          <w:tcPr>
            <w:tcW w:w="4667" w:type="dxa"/>
            <w:noWrap/>
          </w:tcPr>
          <w:p w14:paraId="573DB215" w14:textId="77777777" w:rsidR="000449DD" w:rsidRPr="00981063" w:rsidRDefault="000449DD" w:rsidP="000449DD"/>
        </w:tc>
        <w:tc>
          <w:tcPr>
            <w:tcW w:w="1237" w:type="dxa"/>
            <w:noWrap/>
          </w:tcPr>
          <w:p w14:paraId="74E5B454" w14:textId="77777777" w:rsidR="000449DD" w:rsidRPr="00981063" w:rsidRDefault="000449DD" w:rsidP="000449DD"/>
        </w:tc>
        <w:tc>
          <w:tcPr>
            <w:tcW w:w="5674" w:type="dxa"/>
            <w:noWrap/>
          </w:tcPr>
          <w:p w14:paraId="2B43FF84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41DE3C05" w14:textId="77777777" w:rsidTr="00586397">
        <w:trPr>
          <w:trHeight w:val="301"/>
        </w:trPr>
        <w:tc>
          <w:tcPr>
            <w:tcW w:w="989" w:type="dxa"/>
          </w:tcPr>
          <w:p w14:paraId="37339837" w14:textId="77777777" w:rsidR="000449DD" w:rsidRPr="00981063" w:rsidRDefault="000449DD" w:rsidP="000449DD"/>
        </w:tc>
        <w:tc>
          <w:tcPr>
            <w:tcW w:w="861" w:type="dxa"/>
            <w:noWrap/>
          </w:tcPr>
          <w:p w14:paraId="51635810" w14:textId="77777777" w:rsidR="000449DD" w:rsidRPr="00981063" w:rsidRDefault="000449DD" w:rsidP="000449DD"/>
        </w:tc>
        <w:tc>
          <w:tcPr>
            <w:tcW w:w="2465" w:type="dxa"/>
            <w:noWrap/>
          </w:tcPr>
          <w:p w14:paraId="6B362EBC" w14:textId="77777777" w:rsidR="000449DD" w:rsidRPr="00981063" w:rsidRDefault="000449DD" w:rsidP="000449DD"/>
        </w:tc>
        <w:tc>
          <w:tcPr>
            <w:tcW w:w="4667" w:type="dxa"/>
            <w:noWrap/>
          </w:tcPr>
          <w:p w14:paraId="18ABC2BB" w14:textId="77777777" w:rsidR="000449DD" w:rsidRPr="00981063" w:rsidRDefault="000449DD" w:rsidP="000449DD"/>
        </w:tc>
        <w:tc>
          <w:tcPr>
            <w:tcW w:w="1237" w:type="dxa"/>
            <w:noWrap/>
          </w:tcPr>
          <w:p w14:paraId="105A5116" w14:textId="77777777" w:rsidR="000449DD" w:rsidRPr="00981063" w:rsidRDefault="000449DD" w:rsidP="000449DD"/>
        </w:tc>
        <w:tc>
          <w:tcPr>
            <w:tcW w:w="5674" w:type="dxa"/>
            <w:noWrap/>
          </w:tcPr>
          <w:p w14:paraId="73E5619A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54542390" w14:textId="77777777" w:rsidTr="00586397">
        <w:trPr>
          <w:trHeight w:val="301"/>
        </w:trPr>
        <w:tc>
          <w:tcPr>
            <w:tcW w:w="989" w:type="dxa"/>
          </w:tcPr>
          <w:p w14:paraId="05B15506" w14:textId="77777777" w:rsidR="000449DD" w:rsidRPr="00981063" w:rsidRDefault="000449DD" w:rsidP="000449DD"/>
        </w:tc>
        <w:tc>
          <w:tcPr>
            <w:tcW w:w="861" w:type="dxa"/>
            <w:noWrap/>
          </w:tcPr>
          <w:p w14:paraId="7F178C69" w14:textId="77777777" w:rsidR="000449DD" w:rsidRPr="00981063" w:rsidRDefault="000449DD" w:rsidP="000449DD"/>
        </w:tc>
        <w:tc>
          <w:tcPr>
            <w:tcW w:w="2465" w:type="dxa"/>
            <w:noWrap/>
          </w:tcPr>
          <w:p w14:paraId="4572920E" w14:textId="77777777" w:rsidR="000449DD" w:rsidRPr="00981063" w:rsidRDefault="000449DD" w:rsidP="000449DD"/>
        </w:tc>
        <w:tc>
          <w:tcPr>
            <w:tcW w:w="4667" w:type="dxa"/>
            <w:noWrap/>
          </w:tcPr>
          <w:p w14:paraId="5759EAF1" w14:textId="77777777" w:rsidR="000449DD" w:rsidRPr="00981063" w:rsidRDefault="000449DD" w:rsidP="000449DD"/>
        </w:tc>
        <w:tc>
          <w:tcPr>
            <w:tcW w:w="1237" w:type="dxa"/>
            <w:noWrap/>
          </w:tcPr>
          <w:p w14:paraId="2F9700CF" w14:textId="77777777" w:rsidR="000449DD" w:rsidRPr="00981063" w:rsidRDefault="000449DD" w:rsidP="000449DD"/>
        </w:tc>
        <w:tc>
          <w:tcPr>
            <w:tcW w:w="5674" w:type="dxa"/>
            <w:noWrap/>
          </w:tcPr>
          <w:p w14:paraId="4F06D632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73358D91" w14:textId="77777777" w:rsidTr="00586397">
        <w:trPr>
          <w:trHeight w:val="301"/>
        </w:trPr>
        <w:tc>
          <w:tcPr>
            <w:tcW w:w="989" w:type="dxa"/>
          </w:tcPr>
          <w:p w14:paraId="3AE53EA1" w14:textId="77777777" w:rsidR="000449DD" w:rsidRPr="00981063" w:rsidRDefault="000449DD" w:rsidP="000449DD"/>
        </w:tc>
        <w:tc>
          <w:tcPr>
            <w:tcW w:w="861" w:type="dxa"/>
            <w:noWrap/>
          </w:tcPr>
          <w:p w14:paraId="07A06EDF" w14:textId="77777777" w:rsidR="000449DD" w:rsidRPr="00981063" w:rsidRDefault="000449DD" w:rsidP="000449DD"/>
        </w:tc>
        <w:tc>
          <w:tcPr>
            <w:tcW w:w="2465" w:type="dxa"/>
            <w:noWrap/>
          </w:tcPr>
          <w:p w14:paraId="30CA2652" w14:textId="77777777" w:rsidR="000449DD" w:rsidRPr="00981063" w:rsidRDefault="000449DD" w:rsidP="000449DD"/>
        </w:tc>
        <w:tc>
          <w:tcPr>
            <w:tcW w:w="4667" w:type="dxa"/>
            <w:noWrap/>
          </w:tcPr>
          <w:p w14:paraId="562CF24D" w14:textId="77777777" w:rsidR="000449DD" w:rsidRPr="00981063" w:rsidRDefault="000449DD" w:rsidP="000449DD"/>
        </w:tc>
        <w:tc>
          <w:tcPr>
            <w:tcW w:w="1237" w:type="dxa"/>
            <w:noWrap/>
          </w:tcPr>
          <w:p w14:paraId="15585E00" w14:textId="77777777" w:rsidR="000449DD" w:rsidRPr="00981063" w:rsidRDefault="000449DD" w:rsidP="000449DD"/>
        </w:tc>
        <w:tc>
          <w:tcPr>
            <w:tcW w:w="5674" w:type="dxa"/>
            <w:noWrap/>
          </w:tcPr>
          <w:p w14:paraId="7A1ADA4C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  <w:tr w:rsidR="000449DD" w:rsidRPr="00AF0DB5" w14:paraId="11551CCF" w14:textId="77777777" w:rsidTr="00586397">
        <w:trPr>
          <w:trHeight w:val="301"/>
        </w:trPr>
        <w:tc>
          <w:tcPr>
            <w:tcW w:w="989" w:type="dxa"/>
          </w:tcPr>
          <w:p w14:paraId="6884EC88" w14:textId="77777777" w:rsidR="000449DD" w:rsidRPr="00981063" w:rsidRDefault="000449DD" w:rsidP="000449DD"/>
        </w:tc>
        <w:tc>
          <w:tcPr>
            <w:tcW w:w="861" w:type="dxa"/>
            <w:noWrap/>
          </w:tcPr>
          <w:p w14:paraId="4E731D29" w14:textId="77777777" w:rsidR="000449DD" w:rsidRPr="00981063" w:rsidRDefault="000449DD" w:rsidP="000449DD"/>
        </w:tc>
        <w:tc>
          <w:tcPr>
            <w:tcW w:w="2465" w:type="dxa"/>
            <w:noWrap/>
          </w:tcPr>
          <w:p w14:paraId="31327C1F" w14:textId="77777777" w:rsidR="000449DD" w:rsidRPr="00981063" w:rsidRDefault="000449DD" w:rsidP="000449DD"/>
        </w:tc>
        <w:tc>
          <w:tcPr>
            <w:tcW w:w="4667" w:type="dxa"/>
            <w:noWrap/>
          </w:tcPr>
          <w:p w14:paraId="78D07D03" w14:textId="77777777" w:rsidR="000449DD" w:rsidRPr="00981063" w:rsidRDefault="000449DD" w:rsidP="000449DD"/>
        </w:tc>
        <w:tc>
          <w:tcPr>
            <w:tcW w:w="1237" w:type="dxa"/>
            <w:noWrap/>
          </w:tcPr>
          <w:p w14:paraId="7158CE6E" w14:textId="77777777" w:rsidR="000449DD" w:rsidRPr="00981063" w:rsidRDefault="000449DD" w:rsidP="000449DD"/>
        </w:tc>
        <w:tc>
          <w:tcPr>
            <w:tcW w:w="5674" w:type="dxa"/>
            <w:noWrap/>
          </w:tcPr>
          <w:p w14:paraId="76F432FD" w14:textId="77777777" w:rsidR="000449DD" w:rsidRPr="00D740A6" w:rsidRDefault="000449DD" w:rsidP="000449DD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D620" w14:textId="77777777" w:rsidR="00FD0598" w:rsidRDefault="00FD0598" w:rsidP="003A053F">
      <w:r>
        <w:separator/>
      </w:r>
    </w:p>
  </w:endnote>
  <w:endnote w:type="continuationSeparator" w:id="0">
    <w:p w14:paraId="6B4DFF96" w14:textId="77777777" w:rsidR="00FD0598" w:rsidRDefault="00FD059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58118054" w:rsidR="00CC5C74" w:rsidRDefault="00F70DAC" w:rsidP="003A053F">
    <w:pPr>
      <w:pStyle w:val="Footer"/>
    </w:pPr>
    <w:r>
      <w:t>CR</w:t>
    </w:r>
    <w:r w:rsidR="002956F8">
      <w:t>1612</w:t>
    </w:r>
    <w:r>
      <w:t xml:space="preserve">_APPlus_ExternalOrganisationIdentificationCode_v1.docx </w:t>
    </w:r>
    <w:r w:rsidR="00AF0DB5">
      <w:tab/>
    </w:r>
    <w:r>
      <w:t xml:space="preserve">                                            </w:t>
    </w:r>
    <w:r w:rsidR="00CC5C74">
      <w:t>Produ</w:t>
    </w:r>
    <w:r>
      <w:t>ced by Australian Payments Plus</w:t>
    </w:r>
    <w:r w:rsidR="00CC5C74">
      <w:tab/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BCCA" w14:textId="77777777" w:rsidR="00FD0598" w:rsidRDefault="00FD0598" w:rsidP="003A053F">
      <w:r>
        <w:separator/>
      </w:r>
    </w:p>
  </w:footnote>
  <w:footnote w:type="continuationSeparator" w:id="0">
    <w:p w14:paraId="09662BEC" w14:textId="77777777" w:rsidR="00FD0598" w:rsidRDefault="00FD059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64FE" w14:textId="40D4D749" w:rsidR="000918C3" w:rsidRDefault="000918C3" w:rsidP="000918C3">
    <w:pPr>
      <w:pStyle w:val="Header"/>
      <w:tabs>
        <w:tab w:val="clear" w:pos="4320"/>
        <w:tab w:val="clear" w:pos="8640"/>
        <w:tab w:val="left" w:pos="1935"/>
      </w:tabs>
    </w:pPr>
    <w:r>
      <w:t>RA ID: CR</w:t>
    </w:r>
    <w:r w:rsidR="002956F8">
      <w:t>1612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49DD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918C3"/>
    <w:rsid w:val="000A172E"/>
    <w:rsid w:val="000A20E4"/>
    <w:rsid w:val="000A3B4B"/>
    <w:rsid w:val="000B65C7"/>
    <w:rsid w:val="000C015D"/>
    <w:rsid w:val="000E2471"/>
    <w:rsid w:val="000E44A1"/>
    <w:rsid w:val="000E7941"/>
    <w:rsid w:val="000F3C8B"/>
    <w:rsid w:val="000F43E3"/>
    <w:rsid w:val="000F65D1"/>
    <w:rsid w:val="00101212"/>
    <w:rsid w:val="00101D5F"/>
    <w:rsid w:val="00105754"/>
    <w:rsid w:val="00112653"/>
    <w:rsid w:val="00114F60"/>
    <w:rsid w:val="00122199"/>
    <w:rsid w:val="00142F00"/>
    <w:rsid w:val="0014379C"/>
    <w:rsid w:val="00153ED1"/>
    <w:rsid w:val="00163DB3"/>
    <w:rsid w:val="001711D3"/>
    <w:rsid w:val="0018031F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956F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80928"/>
    <w:rsid w:val="00386B78"/>
    <w:rsid w:val="0039469C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6B38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1039"/>
    <w:rsid w:val="00563FFF"/>
    <w:rsid w:val="005677B8"/>
    <w:rsid w:val="00567F13"/>
    <w:rsid w:val="00577861"/>
    <w:rsid w:val="00577BCC"/>
    <w:rsid w:val="005810CA"/>
    <w:rsid w:val="00586397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0B3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2150"/>
    <w:rsid w:val="00951C86"/>
    <w:rsid w:val="00956D7A"/>
    <w:rsid w:val="00966046"/>
    <w:rsid w:val="009770EE"/>
    <w:rsid w:val="00977C2E"/>
    <w:rsid w:val="00981063"/>
    <w:rsid w:val="009B241A"/>
    <w:rsid w:val="009C1445"/>
    <w:rsid w:val="009F32F2"/>
    <w:rsid w:val="009F68FC"/>
    <w:rsid w:val="00A21B8D"/>
    <w:rsid w:val="00A25B84"/>
    <w:rsid w:val="00A46877"/>
    <w:rsid w:val="00A47C6F"/>
    <w:rsid w:val="00A5492F"/>
    <w:rsid w:val="00A55F68"/>
    <w:rsid w:val="00A60DC3"/>
    <w:rsid w:val="00A60E56"/>
    <w:rsid w:val="00A61A70"/>
    <w:rsid w:val="00A65345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088A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4699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051A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DF41F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74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E0A82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0DAC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598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  <clbl:label id="{defa4170-0d19-0005-0004-bc88714345d2}" enabled="1" method="Standard" siteId="{35878a50-5afb-4676-86d2-a2ba20335a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4908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5714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2026-06-02T15:10:00Z</dcterms:created>
  <dcterms:modified xsi:type="dcterms:W3CDTF">2026-06-02T15:10:00Z</dcterms:modified>
</cp:coreProperties>
</file>