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F0C6A4C" w14:textId="71851837" w:rsidR="001770D0" w:rsidRDefault="008438AF" w:rsidP="008438AF">
      <w:pPr>
        <w:rPr>
          <w:szCs w:val="24"/>
          <w:lang w:val="en-GB"/>
        </w:rPr>
      </w:pPr>
      <w:r w:rsidRPr="008438AF">
        <w:rPr>
          <w:i/>
          <w:szCs w:val="24"/>
          <w:lang w:val="en-GB"/>
        </w:rPr>
        <w:t>A.1 Submitter</w:t>
      </w:r>
      <w:r>
        <w:rPr>
          <w:szCs w:val="24"/>
          <w:lang w:val="en-GB"/>
        </w:rPr>
        <w:t xml:space="preserve">: </w:t>
      </w:r>
      <w:r w:rsidR="00545DCB">
        <w:rPr>
          <w:szCs w:val="24"/>
          <w:lang w:val="en-GB"/>
        </w:rPr>
        <w:t>GFMAs Global FX Division (GFXD)</w:t>
      </w:r>
      <w:r w:rsidR="001770D0">
        <w:rPr>
          <w:szCs w:val="24"/>
          <w:lang w:val="en-GB"/>
        </w:rPr>
        <w:t xml:space="preserve">, </w:t>
      </w:r>
      <w:hyperlink r:id="rId12" w:history="1">
        <w:r w:rsidR="001770D0" w:rsidRPr="00563A1D">
          <w:rPr>
            <w:rStyle w:val="Hyperlink"/>
            <w:szCs w:val="24"/>
            <w:lang w:val="en-GB"/>
          </w:rPr>
          <w:t>https://www.gfma.org/foreign-exchange/</w:t>
        </w:r>
      </w:hyperlink>
    </w:p>
    <w:p w14:paraId="3872C480" w14:textId="1F58A7EC" w:rsidR="008438AF" w:rsidRDefault="000408BA" w:rsidP="008438AF">
      <w:pPr>
        <w:rPr>
          <w:szCs w:val="24"/>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45DCB">
        <w:rPr>
          <w:szCs w:val="24"/>
          <w:lang w:val="en-GB"/>
        </w:rPr>
        <w:t xml:space="preserve">Andrew Harvey, email: </w:t>
      </w:r>
      <w:hyperlink r:id="rId13" w:history="1">
        <w:r w:rsidR="00E54214" w:rsidRPr="00890131">
          <w:rPr>
            <w:rStyle w:val="Hyperlink"/>
            <w:szCs w:val="24"/>
            <w:lang w:val="en-GB"/>
          </w:rPr>
          <w:t>aharvey@eu.gfma.org</w:t>
        </w:r>
      </w:hyperlink>
      <w:r w:rsidR="00E54214">
        <w:rPr>
          <w:szCs w:val="24"/>
          <w:lang w:val="en-GB"/>
        </w:rPr>
        <w:t xml:space="preserve">, </w:t>
      </w:r>
      <w:proofErr w:type="spellStart"/>
      <w:r w:rsidR="00E54214">
        <w:rPr>
          <w:szCs w:val="24"/>
          <w:lang w:val="en-GB"/>
        </w:rPr>
        <w:t>tel</w:t>
      </w:r>
      <w:proofErr w:type="spellEnd"/>
      <w:r w:rsidR="00E54214">
        <w:rPr>
          <w:szCs w:val="24"/>
          <w:lang w:val="en-GB"/>
        </w:rPr>
        <w:t xml:space="preserve">: </w:t>
      </w:r>
      <w:r w:rsidR="00E54214" w:rsidRPr="00E54214">
        <w:rPr>
          <w:szCs w:val="24"/>
        </w:rPr>
        <w:t>+44 (0)</w:t>
      </w:r>
      <w:r w:rsidR="00E54214">
        <w:rPr>
          <w:szCs w:val="24"/>
        </w:rPr>
        <w:t xml:space="preserve"> </w:t>
      </w:r>
      <w:r w:rsidR="00E54214" w:rsidRPr="00E54214">
        <w:rPr>
          <w:szCs w:val="24"/>
        </w:rPr>
        <w:t>203 828 2694</w:t>
      </w:r>
    </w:p>
    <w:p w14:paraId="0EF63AA5" w14:textId="77777777" w:rsidR="007955D9" w:rsidRPr="003365F4" w:rsidRDefault="008438AF" w:rsidP="009C0167">
      <w:pPr>
        <w:pStyle w:val="FootnoteText"/>
        <w:spacing w:line="240" w:lineRule="auto"/>
        <w:ind w:left="0" w:firstLine="0"/>
        <w:jc w:val="both"/>
        <w:rPr>
          <w:sz w:val="22"/>
          <w:szCs w:val="22"/>
        </w:rPr>
      </w:pPr>
      <w:r w:rsidRPr="007955D9">
        <w:rPr>
          <w:rFonts w:ascii="Times New Roman" w:eastAsia="Times" w:hAnsi="Times New Roman"/>
          <w:i/>
          <w:sz w:val="24"/>
          <w:szCs w:val="24"/>
        </w:rPr>
        <w:t xml:space="preserve"> A.</w:t>
      </w:r>
      <w:r w:rsidR="000408BA" w:rsidRPr="007955D9">
        <w:rPr>
          <w:rFonts w:ascii="Times New Roman" w:eastAsia="Times" w:hAnsi="Times New Roman"/>
          <w:i/>
          <w:sz w:val="24"/>
          <w:szCs w:val="24"/>
        </w:rPr>
        <w:t>3</w:t>
      </w:r>
      <w:r w:rsidRPr="007955D9">
        <w:rPr>
          <w:rFonts w:ascii="Times New Roman" w:eastAsia="Times" w:hAnsi="Times New Roman"/>
          <w:i/>
          <w:sz w:val="24"/>
          <w:szCs w:val="24"/>
        </w:rPr>
        <w:t xml:space="preserve"> </w:t>
      </w:r>
      <w:r w:rsidR="0006293F" w:rsidRPr="007955D9">
        <w:rPr>
          <w:rFonts w:ascii="Times New Roman" w:eastAsia="Times" w:hAnsi="Times New Roman"/>
          <w:i/>
          <w:sz w:val="24"/>
          <w:szCs w:val="24"/>
        </w:rPr>
        <w:t>Sponsors:</w:t>
      </w:r>
      <w:r>
        <w:rPr>
          <w:szCs w:val="24"/>
        </w:rPr>
        <w:t xml:space="preserve"> </w:t>
      </w:r>
      <w:r w:rsidR="00E54214" w:rsidRPr="007955D9">
        <w:rPr>
          <w:rFonts w:ascii="Times New Roman" w:eastAsia="Times" w:hAnsi="Times New Roman"/>
          <w:sz w:val="24"/>
          <w:szCs w:val="24"/>
        </w:rPr>
        <w:t xml:space="preserve">This change request is sponsored by our members: </w:t>
      </w:r>
      <w:r w:rsidR="007955D9" w:rsidRPr="007955D9">
        <w:rPr>
          <w:rFonts w:ascii="Times New Roman" w:eastAsia="Times" w:hAnsi="Times New Roman"/>
          <w:sz w:val="24"/>
          <w:szCs w:val="24"/>
        </w:rPr>
        <w:t>Bank of America, Bank of New York, Barclays, BBVA, BNP Paribas, Citi, Credit Agricole, Deutsche Bank, Goldman Sachs, HSBC, ING, JP Morgan, Lloyds, Mizuho, Morgan Stanley, MUFG, NatWest Markets, Nomura, Northern Trust, RBC, Standard Chartered Bank, State Street, UBS, US Bank and Wells Fargo</w:t>
      </w:r>
    </w:p>
    <w:p w14:paraId="25E92BB5" w14:textId="1734827E" w:rsidR="00577BCC" w:rsidRDefault="00577BC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C06BCCA" w:rsidR="001F255A" w:rsidRDefault="002569F2" w:rsidP="00854FA6">
      <w:pPr>
        <w:rPr>
          <w:lang w:val="en-GB"/>
        </w:rPr>
      </w:pPr>
      <w:r>
        <w:rPr>
          <w:lang w:val="en-GB"/>
        </w:rPr>
        <w:t xml:space="preserve">We </w:t>
      </w:r>
      <w:r w:rsidR="00757622">
        <w:rPr>
          <w:lang w:val="en-GB"/>
        </w:rPr>
        <w:t>request</w:t>
      </w:r>
      <w:r>
        <w:rPr>
          <w:lang w:val="en-GB"/>
        </w:rPr>
        <w:t xml:space="preserve"> changes to</w:t>
      </w:r>
      <w:r w:rsidR="001F255A">
        <w:rPr>
          <w:lang w:val="en-GB"/>
        </w:rPr>
        <w:t>:</w:t>
      </w:r>
    </w:p>
    <w:p w14:paraId="38E41593" w14:textId="77777777" w:rsidR="001F255A" w:rsidRPr="00DB0B0F" w:rsidRDefault="001F255A" w:rsidP="00B37B17">
      <w:pPr>
        <w:pStyle w:val="ListParagraph"/>
        <w:numPr>
          <w:ilvl w:val="0"/>
          <w:numId w:val="19"/>
        </w:numPr>
        <w:spacing w:before="0"/>
        <w:rPr>
          <w:sz w:val="24"/>
          <w:szCs w:val="24"/>
        </w:rPr>
      </w:pPr>
      <w:r w:rsidRPr="00DB0B0F">
        <w:rPr>
          <w:sz w:val="24"/>
          <w:szCs w:val="24"/>
        </w:rPr>
        <w:t>pacs.008.001.14</w:t>
      </w:r>
    </w:p>
    <w:p w14:paraId="211C865D" w14:textId="77777777" w:rsidR="001F255A" w:rsidRPr="00DB0B0F" w:rsidRDefault="001F255A" w:rsidP="00B37B17">
      <w:pPr>
        <w:pStyle w:val="ListParagraph"/>
        <w:numPr>
          <w:ilvl w:val="0"/>
          <w:numId w:val="19"/>
        </w:numPr>
        <w:spacing w:before="0"/>
        <w:rPr>
          <w:sz w:val="24"/>
          <w:szCs w:val="24"/>
        </w:rPr>
      </w:pPr>
      <w:r w:rsidRPr="00DB0B0F">
        <w:rPr>
          <w:sz w:val="24"/>
          <w:szCs w:val="24"/>
        </w:rPr>
        <w:t>pacs.009.001.13</w:t>
      </w:r>
    </w:p>
    <w:p w14:paraId="5E5B6F15" w14:textId="77777777" w:rsidR="001F255A" w:rsidRPr="00DB0B0F" w:rsidRDefault="001F255A" w:rsidP="00B37B17">
      <w:pPr>
        <w:pStyle w:val="ListParagraph"/>
        <w:numPr>
          <w:ilvl w:val="0"/>
          <w:numId w:val="19"/>
        </w:numPr>
        <w:spacing w:before="0"/>
        <w:rPr>
          <w:sz w:val="24"/>
          <w:szCs w:val="24"/>
        </w:rPr>
      </w:pPr>
      <w:r w:rsidRPr="00DB0B0F">
        <w:rPr>
          <w:sz w:val="24"/>
          <w:szCs w:val="24"/>
        </w:rPr>
        <w:t>pain.001.001.13</w:t>
      </w:r>
    </w:p>
    <w:p w14:paraId="09EDAEAF" w14:textId="77777777" w:rsidR="00854FA6" w:rsidRDefault="006D4A37" w:rsidP="00854FA6">
      <w:pPr>
        <w:numPr>
          <w:ilvl w:val="0"/>
          <w:numId w:val="6"/>
        </w:numPr>
        <w:rPr>
          <w:lang w:val="en-GB"/>
        </w:rPr>
      </w:pPr>
      <w:r>
        <w:rPr>
          <w:b/>
          <w:lang w:val="en-GB"/>
        </w:rPr>
        <w:t>Description of the change request:</w:t>
      </w:r>
    </w:p>
    <w:p w14:paraId="49ACBA55" w14:textId="7D554385" w:rsidR="00647693" w:rsidRDefault="00A7441D" w:rsidP="009C0167">
      <w:pPr>
        <w:jc w:val="both"/>
        <w:rPr>
          <w:lang w:val="en-GB"/>
        </w:rPr>
      </w:pPr>
      <w:r>
        <w:rPr>
          <w:lang w:val="en-GB"/>
        </w:rPr>
        <w:t>We request the addition</w:t>
      </w:r>
      <w:r w:rsidR="00397165">
        <w:rPr>
          <w:lang w:val="en-GB"/>
        </w:rPr>
        <w:t xml:space="preserve"> of </w:t>
      </w:r>
      <w:r w:rsidR="00647693">
        <w:rPr>
          <w:lang w:val="en-GB"/>
        </w:rPr>
        <w:t>2</w:t>
      </w:r>
      <w:r w:rsidR="00397165">
        <w:rPr>
          <w:lang w:val="en-GB"/>
        </w:rPr>
        <w:t xml:space="preserve"> new field</w:t>
      </w:r>
      <w:r w:rsidR="00647693">
        <w:rPr>
          <w:lang w:val="en-GB"/>
        </w:rPr>
        <w:t>s</w:t>
      </w:r>
      <w:r w:rsidR="00397165">
        <w:rPr>
          <w:lang w:val="en-GB"/>
        </w:rPr>
        <w:t xml:space="preserve"> in which market participants can include details</w:t>
      </w:r>
      <w:r w:rsidR="00647693">
        <w:rPr>
          <w:lang w:val="en-GB"/>
        </w:rPr>
        <w:t xml:space="preserve"> of:</w:t>
      </w:r>
    </w:p>
    <w:p w14:paraId="09AD04D6" w14:textId="26EA626D" w:rsidR="00A7441D" w:rsidRPr="009C0167" w:rsidRDefault="00242DDC" w:rsidP="009C0167">
      <w:pPr>
        <w:pStyle w:val="ListParagraph"/>
        <w:numPr>
          <w:ilvl w:val="0"/>
          <w:numId w:val="20"/>
        </w:numPr>
        <w:jc w:val="both"/>
        <w:rPr>
          <w:sz w:val="24"/>
          <w:szCs w:val="24"/>
        </w:rPr>
      </w:pPr>
      <w:r w:rsidRPr="009C0167">
        <w:rPr>
          <w:sz w:val="24"/>
          <w:szCs w:val="24"/>
        </w:rPr>
        <w:t>The sequencing of s</w:t>
      </w:r>
      <w:r w:rsidR="00397165" w:rsidRPr="009C0167">
        <w:rPr>
          <w:sz w:val="24"/>
          <w:szCs w:val="24"/>
        </w:rPr>
        <w:t>plit or shaped payment</w:t>
      </w:r>
      <w:r w:rsidR="00955861" w:rsidRPr="009C0167">
        <w:rPr>
          <w:sz w:val="24"/>
          <w:szCs w:val="24"/>
        </w:rPr>
        <w:t xml:space="preserve"> </w:t>
      </w:r>
      <w:r w:rsidR="0014348D" w:rsidRPr="009C0167">
        <w:rPr>
          <w:sz w:val="24"/>
          <w:szCs w:val="24"/>
        </w:rPr>
        <w:t>message</w:t>
      </w:r>
      <w:r w:rsidRPr="009C0167">
        <w:rPr>
          <w:sz w:val="24"/>
          <w:szCs w:val="24"/>
        </w:rPr>
        <w:t>s</w:t>
      </w:r>
      <w:r w:rsidR="00955861" w:rsidRPr="009C0167">
        <w:rPr>
          <w:sz w:val="24"/>
          <w:szCs w:val="24"/>
        </w:rPr>
        <w:t xml:space="preserve"> e.g. 1 of 5</w:t>
      </w:r>
      <w:r w:rsidR="00397165" w:rsidRPr="009C0167">
        <w:rPr>
          <w:sz w:val="24"/>
          <w:szCs w:val="24"/>
        </w:rPr>
        <w:t>.</w:t>
      </w:r>
    </w:p>
    <w:p w14:paraId="48C9F8F5" w14:textId="04CD4D9E" w:rsidR="00647693" w:rsidRPr="009C0167" w:rsidRDefault="00955861" w:rsidP="009C0167">
      <w:pPr>
        <w:pStyle w:val="ListParagraph"/>
        <w:numPr>
          <w:ilvl w:val="0"/>
          <w:numId w:val="20"/>
        </w:numPr>
        <w:jc w:val="both"/>
        <w:rPr>
          <w:sz w:val="24"/>
          <w:szCs w:val="24"/>
        </w:rPr>
      </w:pPr>
      <w:r w:rsidRPr="009C0167">
        <w:rPr>
          <w:sz w:val="24"/>
          <w:szCs w:val="24"/>
        </w:rPr>
        <w:t>Total amount before splitting</w:t>
      </w:r>
      <w:r w:rsidR="0014348D" w:rsidRPr="009C0167">
        <w:rPr>
          <w:sz w:val="24"/>
          <w:szCs w:val="24"/>
        </w:rPr>
        <w:t xml:space="preserve"> e.g. USD 10,000,000</w:t>
      </w:r>
      <w:r w:rsidR="008342A6" w:rsidRPr="009C0167">
        <w:rPr>
          <w:sz w:val="24"/>
          <w:szCs w:val="24"/>
        </w:rPr>
        <w:t>,000</w:t>
      </w:r>
      <w:r w:rsidR="0014348D" w:rsidRPr="009C0167">
        <w:rPr>
          <w:sz w:val="24"/>
          <w:szCs w:val="24"/>
        </w:rPr>
        <w:t>.00</w:t>
      </w:r>
    </w:p>
    <w:p w14:paraId="3BB91AEE" w14:textId="5FDE115A" w:rsidR="005246BE" w:rsidRDefault="005246BE" w:rsidP="00B508DD">
      <w:pPr>
        <w:rPr>
          <w:b/>
          <w:szCs w:val="24"/>
          <w:lang w:val="en-GB"/>
        </w:rPr>
      </w:pPr>
      <w:r>
        <w:rPr>
          <w:b/>
          <w:szCs w:val="24"/>
          <w:lang w:val="en-GB"/>
        </w:rPr>
        <w:t xml:space="preserve">Purpose of the </w:t>
      </w:r>
      <w:r w:rsidR="00577861">
        <w:rPr>
          <w:b/>
          <w:szCs w:val="24"/>
          <w:lang w:val="en-GB"/>
        </w:rPr>
        <w:t>change</w:t>
      </w:r>
      <w:r>
        <w:rPr>
          <w:b/>
          <w:szCs w:val="24"/>
          <w:lang w:val="en-GB"/>
        </w:rPr>
        <w:t>:</w:t>
      </w:r>
    </w:p>
    <w:p w14:paraId="527E4D34" w14:textId="57A4E88F" w:rsidR="007B7811" w:rsidRDefault="008C09B0" w:rsidP="009C0167">
      <w:pPr>
        <w:jc w:val="both"/>
        <w:rPr>
          <w:lang w:val="en-GB"/>
        </w:rPr>
      </w:pPr>
      <w:r>
        <w:rPr>
          <w:lang w:val="en-GB"/>
        </w:rPr>
        <w:t xml:space="preserve">The GFXD Operations Committee has recently published a paper on </w:t>
      </w:r>
      <w:r w:rsidR="00CB3A4C">
        <w:rPr>
          <w:lang w:val="en-GB"/>
        </w:rPr>
        <w:t xml:space="preserve">FX payment splitting/shaping, and how this can help to </w:t>
      </w:r>
      <w:proofErr w:type="spellStart"/>
      <w:r w:rsidR="00CB3A4C">
        <w:rPr>
          <w:lang w:val="en-GB"/>
        </w:rPr>
        <w:t>i</w:t>
      </w:r>
      <w:proofErr w:type="spellEnd"/>
      <w:r w:rsidR="00CB3A4C">
        <w:rPr>
          <w:lang w:val="en-GB"/>
        </w:rPr>
        <w:t>) reduce FX Settlement Risk ii)</w:t>
      </w:r>
      <w:r>
        <w:rPr>
          <w:lang w:val="en-GB"/>
        </w:rPr>
        <w:t xml:space="preserve"> </w:t>
      </w:r>
      <w:r w:rsidR="00A438C8">
        <w:rPr>
          <w:lang w:val="en-GB"/>
        </w:rPr>
        <w:t>improve the flow of settlement liquidity iii)</w:t>
      </w:r>
      <w:r w:rsidR="007E4EFE">
        <w:rPr>
          <w:lang w:val="en-GB"/>
        </w:rPr>
        <w:t xml:space="preserve"> support the evolution towards shorter settlement cycles.  The paper is available here</w:t>
      </w:r>
      <w:r w:rsidR="006D7443">
        <w:rPr>
          <w:lang w:val="en-GB"/>
        </w:rPr>
        <w:t xml:space="preserve">: </w:t>
      </w:r>
      <w:hyperlink r:id="rId14" w:history="1">
        <w:r w:rsidR="006D7443" w:rsidRPr="003D27C5">
          <w:rPr>
            <w:rStyle w:val="Hyperlink"/>
            <w:lang w:val="en-GB"/>
          </w:rPr>
          <w:t>https://www.gfma.org/wp-content/uploads/2026/04/fx-payment-splitting-shaping-apr2026.pdf</w:t>
        </w:r>
      </w:hyperlink>
    </w:p>
    <w:p w14:paraId="3DE6A622" w14:textId="6FE522AB" w:rsidR="00646465" w:rsidRDefault="00646465" w:rsidP="009C0167">
      <w:pPr>
        <w:jc w:val="both"/>
        <w:rPr>
          <w:lang w:val="en-GB"/>
        </w:rPr>
      </w:pPr>
      <w:r>
        <w:rPr>
          <w:lang w:val="en-GB"/>
        </w:rPr>
        <w:t>The paper makes 3 recommendations:</w:t>
      </w:r>
    </w:p>
    <w:p w14:paraId="43522611" w14:textId="77777777" w:rsidR="00ED1108" w:rsidRPr="00837B64" w:rsidRDefault="00ED1108" w:rsidP="009C0167">
      <w:pPr>
        <w:pStyle w:val="ListParagraph"/>
        <w:numPr>
          <w:ilvl w:val="0"/>
          <w:numId w:val="17"/>
        </w:numPr>
        <w:spacing w:line="240" w:lineRule="auto"/>
        <w:jc w:val="both"/>
        <w:rPr>
          <w:rFonts w:eastAsia="Times"/>
          <w:sz w:val="24"/>
        </w:rPr>
      </w:pPr>
      <w:r w:rsidRPr="00ED1108">
        <w:rPr>
          <w:rFonts w:eastAsia="Times"/>
          <w:sz w:val="24"/>
        </w:rPr>
        <w:t xml:space="preserve">Market participants adopt automated FX payment split/shaping/reconciliation </w:t>
      </w:r>
      <w:r w:rsidRPr="00837B64">
        <w:rPr>
          <w:rFonts w:eastAsia="Times"/>
          <w:sz w:val="24"/>
        </w:rPr>
        <w:t xml:space="preserve">processes to achieve consistency, scale and efficiency.  </w:t>
      </w:r>
    </w:p>
    <w:p w14:paraId="418B331E" w14:textId="77777777" w:rsidR="00ED1108" w:rsidRPr="00837B64" w:rsidRDefault="00ED1108" w:rsidP="009C0167">
      <w:pPr>
        <w:pStyle w:val="ListParagraph"/>
        <w:spacing w:line="240" w:lineRule="auto"/>
        <w:jc w:val="both"/>
        <w:rPr>
          <w:rFonts w:eastAsia="Times"/>
          <w:sz w:val="24"/>
        </w:rPr>
      </w:pPr>
    </w:p>
    <w:p w14:paraId="1434D0AE" w14:textId="77777777" w:rsidR="00ED1108" w:rsidRPr="00837B64" w:rsidRDefault="00ED1108" w:rsidP="009C0167">
      <w:pPr>
        <w:pStyle w:val="ListParagraph"/>
        <w:numPr>
          <w:ilvl w:val="0"/>
          <w:numId w:val="17"/>
        </w:numPr>
        <w:spacing w:line="240" w:lineRule="auto"/>
        <w:jc w:val="both"/>
        <w:rPr>
          <w:rFonts w:eastAsia="Times"/>
          <w:sz w:val="24"/>
        </w:rPr>
      </w:pPr>
      <w:r w:rsidRPr="00837B64">
        <w:rPr>
          <w:rFonts w:eastAsia="Times"/>
          <w:sz w:val="24"/>
        </w:rPr>
        <w:t xml:space="preserve">Market participants adopt automated methods when notifying that a payment has been split/shaped.  This will ensure that both parties support and can successfully manage the process, avoiding any returns of funds and associated Settlement Risk.  </w:t>
      </w:r>
    </w:p>
    <w:p w14:paraId="49366154" w14:textId="77777777" w:rsidR="00ED1108" w:rsidRPr="00837B64" w:rsidRDefault="00ED1108" w:rsidP="009C0167">
      <w:pPr>
        <w:pStyle w:val="ListParagraph"/>
        <w:spacing w:line="240" w:lineRule="auto"/>
        <w:jc w:val="both"/>
        <w:rPr>
          <w:rFonts w:eastAsia="Times"/>
          <w:sz w:val="24"/>
        </w:rPr>
      </w:pPr>
    </w:p>
    <w:p w14:paraId="46409D3F" w14:textId="77777777" w:rsidR="00ED1108" w:rsidRPr="00837B64" w:rsidRDefault="00ED1108" w:rsidP="009C0167">
      <w:pPr>
        <w:pStyle w:val="ListParagraph"/>
        <w:numPr>
          <w:ilvl w:val="0"/>
          <w:numId w:val="17"/>
        </w:numPr>
        <w:spacing w:line="240" w:lineRule="auto"/>
        <w:jc w:val="both"/>
        <w:rPr>
          <w:rFonts w:eastAsia="Times"/>
          <w:sz w:val="24"/>
        </w:rPr>
      </w:pPr>
      <w:r w:rsidRPr="00837B64">
        <w:rPr>
          <w:rFonts w:eastAsia="Times"/>
          <w:sz w:val="24"/>
        </w:rPr>
        <w:t>Market participants include in their communication message the number/sequence (e.g. 1 of 5) and full amount being exchanged (e.g. 100).  This will enable the recipient to easily reconcile that all messages have been received and that the full amount has also been received.</w:t>
      </w:r>
    </w:p>
    <w:p w14:paraId="7CFE500E" w14:textId="63BDB1CE" w:rsidR="00ED1108" w:rsidRDefault="00ED1108" w:rsidP="009C0167">
      <w:pPr>
        <w:jc w:val="both"/>
        <w:rPr>
          <w:rFonts w:ascii="Garamond" w:hAnsi="Garamond"/>
          <w:bCs/>
          <w:sz w:val="22"/>
          <w:szCs w:val="22"/>
        </w:rPr>
      </w:pPr>
      <w:r>
        <w:rPr>
          <w:lang w:val="en-GB"/>
        </w:rPr>
        <w:lastRenderedPageBreak/>
        <w:t xml:space="preserve">Current industry practices </w:t>
      </w:r>
      <w:r w:rsidR="000D6EC8">
        <w:rPr>
          <w:lang w:val="en-GB"/>
        </w:rPr>
        <w:t xml:space="preserve">on splitting/shaping payments are not harmonised, largely based on proprietary </w:t>
      </w:r>
      <w:r w:rsidR="007B10D8">
        <w:rPr>
          <w:lang w:val="en-GB"/>
        </w:rPr>
        <w:t xml:space="preserve">systems or </w:t>
      </w:r>
      <w:r w:rsidR="007B10D8" w:rsidRPr="007B10D8">
        <w:rPr>
          <w:lang w:val="en-GB"/>
        </w:rPr>
        <w:t xml:space="preserve">via repurposing the </w:t>
      </w:r>
      <w:r w:rsidR="00CA2C57" w:rsidRPr="00503D90">
        <w:t>ISO pacs.008/pacs.009 message</w:t>
      </w:r>
      <w:r w:rsidR="00CA2C57">
        <w:t xml:space="preserve"> </w:t>
      </w:r>
      <w:r w:rsidR="007B10D8" w:rsidRPr="007B10D8">
        <w:rPr>
          <w:lang w:val="en-GB"/>
        </w:rPr>
        <w:t>Unstructured Remittance information field to include information notifying the sequencing of the payments e.g. ‘payment 1 of 3’</w:t>
      </w:r>
      <w:r w:rsidR="00CA2C57">
        <w:rPr>
          <w:rFonts w:ascii="Garamond" w:hAnsi="Garamond"/>
          <w:bCs/>
          <w:sz w:val="22"/>
          <w:szCs w:val="22"/>
        </w:rPr>
        <w:t>.</w:t>
      </w:r>
    </w:p>
    <w:p w14:paraId="6D1D81AF" w14:textId="017EDAD9" w:rsidR="00CA2C57" w:rsidRDefault="00CA2C57" w:rsidP="009C0167">
      <w:pPr>
        <w:jc w:val="both"/>
        <w:rPr>
          <w:lang w:val="en-GB"/>
        </w:rPr>
      </w:pPr>
      <w:r w:rsidRPr="00CA2C57">
        <w:rPr>
          <w:lang w:val="en-GB"/>
        </w:rPr>
        <w:t xml:space="preserve">If the recipient of the split/shaped payment is unable to reconcile the </w:t>
      </w:r>
      <w:r>
        <w:rPr>
          <w:lang w:val="en-GB"/>
        </w:rPr>
        <w:t>incoming messages to the expected receipt</w:t>
      </w:r>
      <w:r w:rsidR="00BE6898">
        <w:rPr>
          <w:lang w:val="en-GB"/>
        </w:rPr>
        <w:t xml:space="preserve"> amount</w:t>
      </w:r>
      <w:r>
        <w:rPr>
          <w:lang w:val="en-GB"/>
        </w:rPr>
        <w:t>, then there is risk that funds will be returned</w:t>
      </w:r>
      <w:r w:rsidR="004F7F91">
        <w:rPr>
          <w:lang w:val="en-GB"/>
        </w:rPr>
        <w:t>, leading to increased Settlement Risk</w:t>
      </w:r>
      <w:r w:rsidR="00BE6898">
        <w:rPr>
          <w:lang w:val="en-GB"/>
        </w:rPr>
        <w:t>.</w:t>
      </w:r>
    </w:p>
    <w:p w14:paraId="0158B780" w14:textId="4A84E4E5" w:rsidR="008167FE" w:rsidRDefault="00846F20" w:rsidP="009C0167">
      <w:pPr>
        <w:spacing w:before="120" w:after="240"/>
        <w:jc w:val="both"/>
        <w:rPr>
          <w:lang w:val="en-GB"/>
        </w:rPr>
      </w:pPr>
      <w:r>
        <w:rPr>
          <w:lang w:val="en-GB"/>
        </w:rPr>
        <w:t>There is considerable focus within the global FX industry on reducing FX Settlement Risk</w:t>
      </w:r>
      <w:r w:rsidR="00752AAC">
        <w:rPr>
          <w:lang w:val="en-GB"/>
        </w:rPr>
        <w:t xml:space="preserve">, </w:t>
      </w:r>
      <w:r w:rsidR="008167FE" w:rsidRPr="008167FE">
        <w:rPr>
          <w:lang w:val="en-GB"/>
        </w:rPr>
        <w:t>defined in the BCBS FX Supervisory Guidance</w:t>
      </w:r>
      <w:r w:rsidR="00847912">
        <w:rPr>
          <w:lang w:val="en-GB"/>
        </w:rPr>
        <w:t xml:space="preserve"> (</w:t>
      </w:r>
      <w:r w:rsidR="00847912" w:rsidRPr="006A0BFC">
        <w:rPr>
          <w:szCs w:val="18"/>
        </w:rPr>
        <w:t>https://www.bis.org/publ/bcbs241.htm (“BCBS FX Supervisory Guidance”)</w:t>
      </w:r>
      <w:r w:rsidR="00847912">
        <w:rPr>
          <w:szCs w:val="18"/>
        </w:rPr>
        <w:t>)</w:t>
      </w:r>
      <w:r w:rsidR="008167FE" w:rsidRPr="008167FE">
        <w:rPr>
          <w:lang w:val="en-GB"/>
        </w:rPr>
        <w:t xml:space="preserve"> as: The risk of outright loss of the full value of a transaction resulting from the counterparty’s failure to settle. This can arise from paying away the currency being sold but failing to receive the currency being bought. (Also referred to as “</w:t>
      </w:r>
      <w:proofErr w:type="spellStart"/>
      <w:r w:rsidR="008167FE" w:rsidRPr="008167FE">
        <w:rPr>
          <w:lang w:val="en-GB"/>
        </w:rPr>
        <w:t>Herstatt</w:t>
      </w:r>
      <w:proofErr w:type="spellEnd"/>
      <w:r w:rsidR="008167FE" w:rsidRPr="008167FE">
        <w:rPr>
          <w:lang w:val="en-GB"/>
        </w:rPr>
        <w:t xml:space="preserve"> Risk”).</w:t>
      </w:r>
    </w:p>
    <w:p w14:paraId="37011EC9" w14:textId="15912D7C" w:rsidR="00847912" w:rsidRDefault="00847912" w:rsidP="009C0167">
      <w:pPr>
        <w:spacing w:before="120" w:after="240"/>
        <w:jc w:val="both"/>
        <w:rPr>
          <w:lang w:val="en-GB"/>
        </w:rPr>
      </w:pPr>
      <w:r>
        <w:rPr>
          <w:lang w:val="en-GB"/>
        </w:rPr>
        <w:t xml:space="preserve">Since 2019, the BIS </w:t>
      </w:r>
      <w:r w:rsidR="0072778B">
        <w:rPr>
          <w:lang w:val="en-GB"/>
        </w:rPr>
        <w:t>Triennial Central Bank Surveys of FX</w:t>
      </w:r>
      <w:r w:rsidR="00502552">
        <w:rPr>
          <w:lang w:val="en-GB"/>
        </w:rPr>
        <w:t xml:space="preserve"> ( </w:t>
      </w:r>
      <w:hyperlink r:id="rId15" w:history="1">
        <w:r w:rsidR="00502552" w:rsidRPr="001977AB">
          <w:rPr>
            <w:rStyle w:val="Hyperlink"/>
            <w:lang w:val="en-GB"/>
          </w:rPr>
          <w:t>https://www.bis.org/statistics/rpfx25.htm</w:t>
        </w:r>
      </w:hyperlink>
      <w:r w:rsidR="00502552">
        <w:rPr>
          <w:lang w:val="en-GB"/>
        </w:rPr>
        <w:t xml:space="preserve">) have included questions to </w:t>
      </w:r>
      <w:r w:rsidR="001B6872">
        <w:rPr>
          <w:lang w:val="en-GB"/>
        </w:rPr>
        <w:t>shape the amount of FX settling outside of PvP mechanisms, with an increased focus on those settling on a gross-bilate</w:t>
      </w:r>
      <w:r w:rsidR="003B511C">
        <w:rPr>
          <w:lang w:val="en-GB"/>
        </w:rPr>
        <w:t>ral</w:t>
      </w:r>
      <w:r w:rsidR="001B6872">
        <w:rPr>
          <w:lang w:val="en-GB"/>
        </w:rPr>
        <w:t xml:space="preserve"> basis i.e.</w:t>
      </w:r>
      <w:r w:rsidR="003B511C">
        <w:rPr>
          <w:lang w:val="en-GB"/>
        </w:rPr>
        <w:t xml:space="preserve"> having the highest level of Settlement Risk.  This data has shaped public sector/industry engagement to </w:t>
      </w:r>
      <w:r w:rsidR="00FB141A">
        <w:rPr>
          <w:lang w:val="en-GB"/>
        </w:rPr>
        <w:t xml:space="preserve">better understand FX Settlement Risk, for instance through the creation of the </w:t>
      </w:r>
      <w:r w:rsidR="006E0021">
        <w:rPr>
          <w:lang w:val="en-GB"/>
        </w:rPr>
        <w:t>Global Foreign Exchange Committees (GFXC’s) FX Settlement Risk Working Group</w:t>
      </w:r>
      <w:r w:rsidR="00636986">
        <w:rPr>
          <w:lang w:val="en-GB"/>
        </w:rPr>
        <w:t xml:space="preserve"> (</w:t>
      </w:r>
      <w:hyperlink r:id="rId16" w:history="1">
        <w:r w:rsidR="00636986" w:rsidRPr="001977AB">
          <w:rPr>
            <w:rStyle w:val="Hyperlink"/>
            <w:lang w:val="en-GB"/>
          </w:rPr>
          <w:t>https://www.globalfxc.org/</w:t>
        </w:r>
      </w:hyperlink>
      <w:r w:rsidR="00636986">
        <w:rPr>
          <w:lang w:val="en-GB"/>
        </w:rPr>
        <w:t xml:space="preserve">) </w:t>
      </w:r>
      <w:r w:rsidR="00AE05C9">
        <w:rPr>
          <w:lang w:val="en-GB"/>
        </w:rPr>
        <w:t>–</w:t>
      </w:r>
      <w:r w:rsidR="00636986">
        <w:rPr>
          <w:lang w:val="en-GB"/>
        </w:rPr>
        <w:t xml:space="preserve"> </w:t>
      </w:r>
      <w:r w:rsidR="00AE05C9">
        <w:rPr>
          <w:lang w:val="en-GB"/>
        </w:rPr>
        <w:t>the GFXC being established in 2017 to bring together central banks and the private sector</w:t>
      </w:r>
      <w:r w:rsidR="00D46FE7">
        <w:rPr>
          <w:lang w:val="en-GB"/>
        </w:rPr>
        <w:t>, initially resulting in the publication of the FX Global Code.  Hence our continued engagement to support the widespread reduction in FX Settlement Risk.</w:t>
      </w:r>
    </w:p>
    <w:p w14:paraId="2BFFF9CB" w14:textId="43D1F6C6" w:rsidR="008A59A2" w:rsidRPr="008167FE" w:rsidRDefault="008A59A2" w:rsidP="009C0167">
      <w:pPr>
        <w:spacing w:before="0"/>
        <w:jc w:val="both"/>
        <w:rPr>
          <w:lang w:val="en-GB"/>
        </w:rPr>
      </w:pPr>
      <w:r>
        <w:rPr>
          <w:lang w:val="en-GB"/>
        </w:rPr>
        <w:t xml:space="preserve">Our expectation is that through the addition of a new field in the </w:t>
      </w:r>
      <w:r w:rsidRPr="002569F2">
        <w:t xml:space="preserve">ISO </w:t>
      </w:r>
      <w:proofErr w:type="spellStart"/>
      <w:r w:rsidR="0011383B">
        <w:t>i</w:t>
      </w:r>
      <w:proofErr w:type="spellEnd"/>
      <w:r w:rsidR="0011383B">
        <w:t xml:space="preserve">) </w:t>
      </w:r>
      <w:r w:rsidR="0011383B" w:rsidRPr="001F255A">
        <w:t>pacs.008.001.14</w:t>
      </w:r>
      <w:r w:rsidR="0011383B">
        <w:t xml:space="preserve"> ii) </w:t>
      </w:r>
      <w:r w:rsidR="0011383B" w:rsidRPr="001F255A">
        <w:t>pacs.009.001.13</w:t>
      </w:r>
      <w:r w:rsidR="0011383B">
        <w:t xml:space="preserve"> and iii) </w:t>
      </w:r>
      <w:r w:rsidR="0011383B" w:rsidRPr="001F255A">
        <w:t>pain.001.001.13</w:t>
      </w:r>
      <w:r w:rsidR="0011383B">
        <w:t xml:space="preserve"> </w:t>
      </w:r>
      <w:r w:rsidRPr="002569F2">
        <w:t>message</w:t>
      </w:r>
      <w:r>
        <w:t xml:space="preserve">s, where market </w:t>
      </w:r>
      <w:r w:rsidR="00C71C0E">
        <w:t>participants</w:t>
      </w:r>
      <w:r>
        <w:t xml:space="preserve"> can populate </w:t>
      </w:r>
      <w:proofErr w:type="spellStart"/>
      <w:r>
        <w:t>standardised</w:t>
      </w:r>
      <w:proofErr w:type="spellEnd"/>
      <w:r>
        <w:t xml:space="preserve"> </w:t>
      </w:r>
      <w:r w:rsidR="00C71C0E">
        <w:t>information informing the recipient that a payment has been split/shaped</w:t>
      </w:r>
      <w:r w:rsidR="00EC52F6">
        <w:t>,</w:t>
      </w:r>
      <w:r w:rsidR="00C71C0E">
        <w:t xml:space="preserve"> will promote </w:t>
      </w:r>
      <w:proofErr w:type="spellStart"/>
      <w:r w:rsidR="00C71C0E">
        <w:t>harmonisation</w:t>
      </w:r>
      <w:proofErr w:type="spellEnd"/>
      <w:r w:rsidR="00C71C0E">
        <w:t xml:space="preserve"> in the </w:t>
      </w:r>
      <w:r w:rsidR="0052512D">
        <w:t>exchange</w:t>
      </w:r>
      <w:r w:rsidR="00C71C0E">
        <w:t xml:space="preserve"> of </w:t>
      </w:r>
      <w:r w:rsidR="0052512D">
        <w:t>information</w:t>
      </w:r>
      <w:r w:rsidR="00C71C0E">
        <w:t xml:space="preserve"> </w:t>
      </w:r>
      <w:r w:rsidR="0052512D">
        <w:t>and</w:t>
      </w:r>
      <w:r w:rsidR="00C71C0E">
        <w:t xml:space="preserve"> result in a reduction in funds being returned due to reco</w:t>
      </w:r>
      <w:r w:rsidR="0052512D">
        <w:t>nciliation challenges</w:t>
      </w:r>
      <w:r w:rsidR="00EC52F6">
        <w:t xml:space="preserve">, </w:t>
      </w:r>
      <w:r w:rsidR="0052512D">
        <w:t>a failed receipt</w:t>
      </w:r>
      <w:r w:rsidR="00EC52F6">
        <w:t xml:space="preserve">, and </w:t>
      </w:r>
      <w:r w:rsidR="00ED0363">
        <w:t xml:space="preserve">an associated </w:t>
      </w:r>
      <w:r w:rsidR="00EC52F6">
        <w:t>increase</w:t>
      </w:r>
      <w:r w:rsidR="00ED0363">
        <w:t xml:space="preserve"> in</w:t>
      </w:r>
      <w:r w:rsidR="00EC52F6">
        <w:t xml:space="preserve"> Settlement Risk.</w:t>
      </w:r>
      <w:r w:rsidR="0052512D">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259100E" w14:textId="72676473" w:rsidR="005617E3" w:rsidRPr="005617E3" w:rsidRDefault="005617E3" w:rsidP="009C0167">
      <w:pPr>
        <w:jc w:val="both"/>
        <w:rPr>
          <w:szCs w:val="24"/>
          <w:lang w:val="en-GB"/>
        </w:rPr>
      </w:pPr>
      <w:r>
        <w:rPr>
          <w:szCs w:val="24"/>
          <w:lang w:val="en-GB"/>
        </w:rPr>
        <w:t xml:space="preserve">Whilst urgent, we are happy for this request to be </w:t>
      </w:r>
      <w:r w:rsidR="00536682">
        <w:rPr>
          <w:szCs w:val="24"/>
          <w:lang w:val="en-GB"/>
        </w:rPr>
        <w:t>factored into the current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A21FEB3" w14:textId="3BCCA3CC" w:rsidR="0076135F" w:rsidRDefault="0027387D" w:rsidP="009C0167">
      <w:pPr>
        <w:jc w:val="both"/>
        <w:rPr>
          <w:szCs w:val="24"/>
        </w:rPr>
      </w:pPr>
      <w:r>
        <w:rPr>
          <w:lang w:val="en-GB"/>
        </w:rPr>
        <w:t xml:space="preserve">Sell </w:t>
      </w:r>
      <w:r w:rsidR="00254D2D">
        <w:rPr>
          <w:lang w:val="en-GB"/>
        </w:rPr>
        <w:t>USD</w:t>
      </w:r>
      <w:r w:rsidR="0076135F">
        <w:rPr>
          <w:lang w:val="en-GB"/>
        </w:rPr>
        <w:t xml:space="preserve"> 10,000,000</w:t>
      </w:r>
      <w:r w:rsidR="00831437">
        <w:rPr>
          <w:lang w:val="en-GB"/>
        </w:rPr>
        <w:t>,000</w:t>
      </w:r>
      <w:r w:rsidR="00254D2D">
        <w:rPr>
          <w:lang w:val="en-GB"/>
        </w:rPr>
        <w:t>.00</w:t>
      </w:r>
      <w:r w:rsidR="00831437">
        <w:rPr>
          <w:lang w:val="en-GB"/>
        </w:rPr>
        <w:t xml:space="preserve"> (</w:t>
      </w:r>
      <w:r w:rsidR="006159C6">
        <w:rPr>
          <w:lang w:val="en-GB"/>
        </w:rPr>
        <w:t xml:space="preserve">USD </w:t>
      </w:r>
      <w:r w:rsidR="00831437">
        <w:rPr>
          <w:lang w:val="en-GB"/>
        </w:rPr>
        <w:t>10 billion)</w:t>
      </w:r>
      <w:r w:rsidR="00D27E57">
        <w:rPr>
          <w:lang w:val="en-GB"/>
        </w:rPr>
        <w:t>, which is subsequently split</w:t>
      </w:r>
      <w:r w:rsidR="00E915B2">
        <w:rPr>
          <w:szCs w:val="24"/>
        </w:rPr>
        <w:t xml:space="preserve"> </w:t>
      </w:r>
      <w:r w:rsidR="0076135F" w:rsidRPr="00C65494">
        <w:rPr>
          <w:szCs w:val="24"/>
        </w:rPr>
        <w:t xml:space="preserve">into </w:t>
      </w:r>
      <w:r w:rsidR="00831437" w:rsidRPr="00C65494">
        <w:rPr>
          <w:szCs w:val="24"/>
        </w:rPr>
        <w:t>x</w:t>
      </w:r>
      <w:r w:rsidR="00C65494" w:rsidRPr="00C65494">
        <w:rPr>
          <w:szCs w:val="24"/>
        </w:rPr>
        <w:t xml:space="preserve"> </w:t>
      </w:r>
      <w:r w:rsidR="00831437" w:rsidRPr="00C65494">
        <w:rPr>
          <w:szCs w:val="24"/>
        </w:rPr>
        <w:t>20</w:t>
      </w:r>
      <w:r w:rsidR="00C65494" w:rsidRPr="00C65494">
        <w:rPr>
          <w:szCs w:val="24"/>
        </w:rPr>
        <w:t xml:space="preserve"> amounts of</w:t>
      </w:r>
      <w:r w:rsidR="00831437" w:rsidRPr="00C65494">
        <w:rPr>
          <w:szCs w:val="24"/>
        </w:rPr>
        <w:t xml:space="preserve"> </w:t>
      </w:r>
      <w:r w:rsidR="00254D2D">
        <w:rPr>
          <w:szCs w:val="24"/>
        </w:rPr>
        <w:t>USD</w:t>
      </w:r>
      <w:r w:rsidR="00831437" w:rsidRPr="00C65494">
        <w:rPr>
          <w:szCs w:val="24"/>
        </w:rPr>
        <w:t xml:space="preserve"> 500,000,000</w:t>
      </w:r>
      <w:r w:rsidR="00D13F25">
        <w:rPr>
          <w:szCs w:val="24"/>
        </w:rPr>
        <w:t>.00</w:t>
      </w:r>
      <w:r w:rsidR="00831437" w:rsidRPr="00C65494">
        <w:rPr>
          <w:szCs w:val="24"/>
        </w:rPr>
        <w:t xml:space="preserve"> (</w:t>
      </w:r>
      <w:r w:rsidR="006159C6">
        <w:rPr>
          <w:szCs w:val="24"/>
        </w:rPr>
        <w:t xml:space="preserve">USD </w:t>
      </w:r>
      <w:r w:rsidR="00831437" w:rsidRPr="00C65494">
        <w:rPr>
          <w:szCs w:val="24"/>
        </w:rPr>
        <w:t>500 million)</w:t>
      </w:r>
      <w:r w:rsidR="006D66CF">
        <w:rPr>
          <w:szCs w:val="24"/>
        </w:rPr>
        <w:t>. Updates in message</w:t>
      </w:r>
      <w:r w:rsidR="00C92A8F">
        <w:rPr>
          <w:szCs w:val="24"/>
        </w:rPr>
        <w:t>s</w:t>
      </w:r>
      <w:r w:rsidR="006D66CF">
        <w:rPr>
          <w:szCs w:val="24"/>
        </w:rPr>
        <w:t xml:space="preserve"> to reflect:</w:t>
      </w:r>
    </w:p>
    <w:p w14:paraId="6B9B9EC9" w14:textId="22A6F8DC" w:rsidR="00831437" w:rsidRDefault="00831437" w:rsidP="009C0167">
      <w:pPr>
        <w:pStyle w:val="ListParagraph"/>
        <w:numPr>
          <w:ilvl w:val="0"/>
          <w:numId w:val="18"/>
        </w:numPr>
        <w:jc w:val="both"/>
        <w:rPr>
          <w:sz w:val="24"/>
          <w:szCs w:val="24"/>
        </w:rPr>
      </w:pPr>
      <w:r w:rsidRPr="00C65494">
        <w:rPr>
          <w:sz w:val="24"/>
          <w:szCs w:val="24"/>
        </w:rPr>
        <w:t xml:space="preserve">New field to contain sequencing e.g. 1 of </w:t>
      </w:r>
      <w:r w:rsidR="00C65494" w:rsidRPr="00C65494">
        <w:rPr>
          <w:sz w:val="24"/>
          <w:szCs w:val="24"/>
        </w:rPr>
        <w:t>20, 2 of 20 etc</w:t>
      </w:r>
    </w:p>
    <w:p w14:paraId="2D17FC25" w14:textId="285DC6B3" w:rsidR="0014348D" w:rsidRPr="00C65494" w:rsidRDefault="0014348D" w:rsidP="009C0167">
      <w:pPr>
        <w:pStyle w:val="ListParagraph"/>
        <w:numPr>
          <w:ilvl w:val="0"/>
          <w:numId w:val="18"/>
        </w:numPr>
        <w:jc w:val="both"/>
        <w:rPr>
          <w:sz w:val="24"/>
          <w:szCs w:val="24"/>
        </w:rPr>
      </w:pPr>
      <w:r>
        <w:rPr>
          <w:sz w:val="24"/>
          <w:szCs w:val="24"/>
        </w:rPr>
        <w:t xml:space="preserve">New field to contain </w:t>
      </w:r>
      <w:r w:rsidR="00AA3EE9" w:rsidRPr="00AA3EE9">
        <w:rPr>
          <w:sz w:val="24"/>
          <w:szCs w:val="24"/>
        </w:rPr>
        <w:t>total amount before splitting</w:t>
      </w:r>
      <w:r w:rsidR="00D13F25">
        <w:rPr>
          <w:sz w:val="24"/>
          <w:szCs w:val="24"/>
        </w:rPr>
        <w:t xml:space="preserve"> e.g. </w:t>
      </w:r>
      <w:r w:rsidR="00254D2D">
        <w:rPr>
          <w:sz w:val="24"/>
          <w:szCs w:val="24"/>
        </w:rPr>
        <w:t>USD</w:t>
      </w:r>
      <w:r w:rsidR="00D13F25">
        <w:rPr>
          <w:sz w:val="24"/>
          <w:szCs w:val="24"/>
        </w:rPr>
        <w:t xml:space="preserve"> </w:t>
      </w:r>
      <w:r w:rsidR="006159C6">
        <w:rPr>
          <w:sz w:val="24"/>
          <w:szCs w:val="24"/>
        </w:rPr>
        <w:t>10,0</w:t>
      </w:r>
      <w:r w:rsidR="00D13F25">
        <w:rPr>
          <w:sz w:val="24"/>
          <w:szCs w:val="24"/>
        </w:rPr>
        <w:t>00,000,000.00</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6E1FFFD"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60476">
              <w:rPr>
                <w:b/>
                <w:szCs w:val="24"/>
                <w:lang w:val="en-GB"/>
              </w:rPr>
              <w:t>6</w:t>
            </w:r>
            <w:r>
              <w:rPr>
                <w:b/>
                <w:szCs w:val="24"/>
                <w:lang w:val="en-GB"/>
              </w:rPr>
              <w:t>/20</w:t>
            </w:r>
            <w:r w:rsidR="00B43BED">
              <w:rPr>
                <w:b/>
                <w:szCs w:val="24"/>
                <w:lang w:val="en-GB"/>
              </w:rPr>
              <w:t>2</w:t>
            </w:r>
            <w:r w:rsidR="00560476">
              <w:rPr>
                <w:b/>
                <w:szCs w:val="24"/>
                <w:lang w:val="en-GB"/>
              </w:rPr>
              <w:t>7</w:t>
            </w:r>
          </w:p>
          <w:p w14:paraId="0A1397DE" w14:textId="14ECA241"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60476">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60476">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DA50" w14:textId="77777777" w:rsidR="000B4340" w:rsidRDefault="000B4340">
      <w:r>
        <w:separator/>
      </w:r>
    </w:p>
  </w:endnote>
  <w:endnote w:type="continuationSeparator" w:id="0">
    <w:p w14:paraId="7E974A31" w14:textId="77777777" w:rsidR="000B4340" w:rsidRDefault="000B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76B948A" w:rsidR="00567F13" w:rsidRDefault="00DE5BE3">
    <w:pPr>
      <w:pStyle w:val="Footer"/>
      <w:rPr>
        <w:rStyle w:val="PageNumber"/>
      </w:rPr>
    </w:pPr>
    <w:r>
      <w:t>CR1569_GFXD_</w:t>
    </w:r>
    <w:r w:rsidR="001C41B6">
      <w:t>FXSplit</w:t>
    </w:r>
    <w:r w:rsidR="004D42A8">
      <w:t>In</w:t>
    </w:r>
    <w:r w:rsidR="001C41B6">
      <w:t>Payments_v1.docx</w:t>
    </w:r>
    <w:fldSimple w:instr=" FILENAME   \* MERGEFORMAT "/>
    <w:r w:rsidR="00567F13">
      <w:tab/>
    </w:r>
    <w:r w:rsidR="001C41B6">
      <w:t xml:space="preserve">      </w:t>
    </w:r>
    <w:r w:rsidR="00560476">
      <w:t xml:space="preserve">                    </w:t>
    </w:r>
    <w:r w:rsidR="00567F13">
      <w:t>Produced b</w:t>
    </w:r>
    <w:r w:rsidR="00560476">
      <w:t xml:space="preserve">y </w:t>
    </w:r>
    <w:r w:rsidR="001C41B6" w:rsidRPr="001C41B6">
      <w:rPr>
        <w:lang w:val="en-GB"/>
      </w:rPr>
      <w:t>GFXD</w:t>
    </w:r>
    <w:r w:rsidR="001C41B6">
      <w:rPr>
        <w:lang w:val="en-GB"/>
      </w:rPr>
      <w:t xml:space="preserve">      </w:t>
    </w:r>
    <w:r w:rsidR="00560476">
      <w:rPr>
        <w:lang w:val="en-GB"/>
      </w:rPr>
      <w:t xml:space="preserve">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DF0D" w14:textId="77777777" w:rsidR="000B4340" w:rsidRDefault="000B4340">
      <w:r>
        <w:separator/>
      </w:r>
    </w:p>
  </w:footnote>
  <w:footnote w:type="continuationSeparator" w:id="0">
    <w:p w14:paraId="0B8975A4" w14:textId="77777777" w:rsidR="000B4340" w:rsidRDefault="000B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3015F12" w:rsidR="00E74C04" w:rsidRPr="004D42A8" w:rsidRDefault="00DE5BE3">
    <w:pPr>
      <w:pStyle w:val="Header"/>
      <w:rPr>
        <w:sz w:val="22"/>
        <w:szCs w:val="22"/>
        <w:lang w:val="fr-BE"/>
      </w:rPr>
    </w:pPr>
    <w:r w:rsidRPr="004D42A8">
      <w:rPr>
        <w:sz w:val="22"/>
        <w:szCs w:val="22"/>
        <w:lang w:val="fr-BE"/>
      </w:rPr>
      <w:t>RA ID: CR1569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2F75CF4"/>
    <w:multiLevelType w:val="hybridMultilevel"/>
    <w:tmpl w:val="AAEC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995B4B"/>
    <w:multiLevelType w:val="hybridMultilevel"/>
    <w:tmpl w:val="2950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17FB3"/>
    <w:multiLevelType w:val="hybridMultilevel"/>
    <w:tmpl w:val="B258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041603"/>
    <w:multiLevelType w:val="hybridMultilevel"/>
    <w:tmpl w:val="63E00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9"/>
  </w:num>
  <w:num w:numId="7" w16cid:durableId="728386006">
    <w:abstractNumId w:val="13"/>
  </w:num>
  <w:num w:numId="8" w16cid:durableId="1187863317">
    <w:abstractNumId w:val="11"/>
  </w:num>
  <w:num w:numId="9" w16cid:durableId="1549537704">
    <w:abstractNumId w:val="17"/>
  </w:num>
  <w:num w:numId="10" w16cid:durableId="2044745797">
    <w:abstractNumId w:val="6"/>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5"/>
  </w:num>
  <w:num w:numId="16" w16cid:durableId="222108804">
    <w:abstractNumId w:val="14"/>
  </w:num>
  <w:num w:numId="17" w16cid:durableId="601958713">
    <w:abstractNumId w:val="19"/>
  </w:num>
  <w:num w:numId="18" w16cid:durableId="1686251140">
    <w:abstractNumId w:val="16"/>
  </w:num>
  <w:num w:numId="19" w16cid:durableId="404112962">
    <w:abstractNumId w:val="5"/>
  </w:num>
  <w:num w:numId="20" w16cid:durableId="755597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41FD5"/>
    <w:rsid w:val="000558EF"/>
    <w:rsid w:val="0006293F"/>
    <w:rsid w:val="00070308"/>
    <w:rsid w:val="00080D3A"/>
    <w:rsid w:val="000823AA"/>
    <w:rsid w:val="00082743"/>
    <w:rsid w:val="000837C7"/>
    <w:rsid w:val="00083C96"/>
    <w:rsid w:val="000A172E"/>
    <w:rsid w:val="000A20E4"/>
    <w:rsid w:val="000B4340"/>
    <w:rsid w:val="000B65C7"/>
    <w:rsid w:val="000C015D"/>
    <w:rsid w:val="000D5D39"/>
    <w:rsid w:val="000D6EC8"/>
    <w:rsid w:val="000E2471"/>
    <w:rsid w:val="000E7941"/>
    <w:rsid w:val="000F3C8B"/>
    <w:rsid w:val="000F43E3"/>
    <w:rsid w:val="00101212"/>
    <w:rsid w:val="00101D5F"/>
    <w:rsid w:val="00103124"/>
    <w:rsid w:val="00105754"/>
    <w:rsid w:val="0011383B"/>
    <w:rsid w:val="0012701C"/>
    <w:rsid w:val="00130EB9"/>
    <w:rsid w:val="0014348D"/>
    <w:rsid w:val="0014379C"/>
    <w:rsid w:val="00153ED1"/>
    <w:rsid w:val="00163DB3"/>
    <w:rsid w:val="001711D3"/>
    <w:rsid w:val="001770D0"/>
    <w:rsid w:val="00185453"/>
    <w:rsid w:val="00185E8E"/>
    <w:rsid w:val="001970E4"/>
    <w:rsid w:val="001A4D5C"/>
    <w:rsid w:val="001B1858"/>
    <w:rsid w:val="001B6872"/>
    <w:rsid w:val="001C41B6"/>
    <w:rsid w:val="001D0D1B"/>
    <w:rsid w:val="001D176B"/>
    <w:rsid w:val="001D20B3"/>
    <w:rsid w:val="001E287E"/>
    <w:rsid w:val="001E2B1C"/>
    <w:rsid w:val="001E3BCF"/>
    <w:rsid w:val="001F255A"/>
    <w:rsid w:val="00217122"/>
    <w:rsid w:val="00217AE9"/>
    <w:rsid w:val="00225AA9"/>
    <w:rsid w:val="00230574"/>
    <w:rsid w:val="00231CFF"/>
    <w:rsid w:val="00242DDC"/>
    <w:rsid w:val="002472D9"/>
    <w:rsid w:val="002509A2"/>
    <w:rsid w:val="0025138E"/>
    <w:rsid w:val="002521C9"/>
    <w:rsid w:val="00254D2D"/>
    <w:rsid w:val="002569F2"/>
    <w:rsid w:val="002711E6"/>
    <w:rsid w:val="00271CDF"/>
    <w:rsid w:val="0027387D"/>
    <w:rsid w:val="002904C8"/>
    <w:rsid w:val="002B0567"/>
    <w:rsid w:val="002C1572"/>
    <w:rsid w:val="002D549A"/>
    <w:rsid w:val="002D6295"/>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97165"/>
    <w:rsid w:val="00397552"/>
    <w:rsid w:val="003A1EBF"/>
    <w:rsid w:val="003A3D7D"/>
    <w:rsid w:val="003B261A"/>
    <w:rsid w:val="003B511C"/>
    <w:rsid w:val="003C0213"/>
    <w:rsid w:val="003C0267"/>
    <w:rsid w:val="003C3840"/>
    <w:rsid w:val="003D074E"/>
    <w:rsid w:val="003D56E3"/>
    <w:rsid w:val="003E59BF"/>
    <w:rsid w:val="003E67E5"/>
    <w:rsid w:val="003F1C24"/>
    <w:rsid w:val="003F547E"/>
    <w:rsid w:val="003F57CE"/>
    <w:rsid w:val="003F6B05"/>
    <w:rsid w:val="00401998"/>
    <w:rsid w:val="00427966"/>
    <w:rsid w:val="00434227"/>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42A8"/>
    <w:rsid w:val="004D62EC"/>
    <w:rsid w:val="004E1F21"/>
    <w:rsid w:val="004F0578"/>
    <w:rsid w:val="004F0934"/>
    <w:rsid w:val="004F61D5"/>
    <w:rsid w:val="004F7F91"/>
    <w:rsid w:val="0050171A"/>
    <w:rsid w:val="00502552"/>
    <w:rsid w:val="00503D90"/>
    <w:rsid w:val="0052302E"/>
    <w:rsid w:val="005246BE"/>
    <w:rsid w:val="0052512D"/>
    <w:rsid w:val="00536682"/>
    <w:rsid w:val="005411C7"/>
    <w:rsid w:val="00545DCB"/>
    <w:rsid w:val="00555709"/>
    <w:rsid w:val="00560476"/>
    <w:rsid w:val="005617E3"/>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343C"/>
    <w:rsid w:val="005B4CAC"/>
    <w:rsid w:val="005B602E"/>
    <w:rsid w:val="005C0996"/>
    <w:rsid w:val="005C4C5F"/>
    <w:rsid w:val="005D06FE"/>
    <w:rsid w:val="005D5402"/>
    <w:rsid w:val="005E1210"/>
    <w:rsid w:val="005E1B6C"/>
    <w:rsid w:val="005E295B"/>
    <w:rsid w:val="005E3784"/>
    <w:rsid w:val="005E46E4"/>
    <w:rsid w:val="005F05DB"/>
    <w:rsid w:val="005F2E6B"/>
    <w:rsid w:val="006043A9"/>
    <w:rsid w:val="00610B1B"/>
    <w:rsid w:val="00610F9A"/>
    <w:rsid w:val="006159C6"/>
    <w:rsid w:val="006316E5"/>
    <w:rsid w:val="00631A43"/>
    <w:rsid w:val="0063312E"/>
    <w:rsid w:val="00633B0A"/>
    <w:rsid w:val="00636986"/>
    <w:rsid w:val="00646465"/>
    <w:rsid w:val="00647693"/>
    <w:rsid w:val="006643DC"/>
    <w:rsid w:val="006A02BC"/>
    <w:rsid w:val="006A7B96"/>
    <w:rsid w:val="006B20DC"/>
    <w:rsid w:val="006D4A37"/>
    <w:rsid w:val="006D66CF"/>
    <w:rsid w:val="006D7443"/>
    <w:rsid w:val="006E0021"/>
    <w:rsid w:val="006E2522"/>
    <w:rsid w:val="006E3DEC"/>
    <w:rsid w:val="00706604"/>
    <w:rsid w:val="007118C4"/>
    <w:rsid w:val="00723DE0"/>
    <w:rsid w:val="0072778B"/>
    <w:rsid w:val="00732595"/>
    <w:rsid w:val="0074349F"/>
    <w:rsid w:val="00752AAC"/>
    <w:rsid w:val="0075466C"/>
    <w:rsid w:val="00757622"/>
    <w:rsid w:val="0076135F"/>
    <w:rsid w:val="007705D2"/>
    <w:rsid w:val="00774921"/>
    <w:rsid w:val="00780203"/>
    <w:rsid w:val="00780877"/>
    <w:rsid w:val="00783891"/>
    <w:rsid w:val="00783E6C"/>
    <w:rsid w:val="007949EA"/>
    <w:rsid w:val="007955D9"/>
    <w:rsid w:val="007A4CCC"/>
    <w:rsid w:val="007A6E0D"/>
    <w:rsid w:val="007B10D8"/>
    <w:rsid w:val="007B3927"/>
    <w:rsid w:val="007B7811"/>
    <w:rsid w:val="007C4C99"/>
    <w:rsid w:val="007C7AB4"/>
    <w:rsid w:val="007C7CD2"/>
    <w:rsid w:val="007D3EB0"/>
    <w:rsid w:val="007D69B5"/>
    <w:rsid w:val="007D6A9F"/>
    <w:rsid w:val="007E4EFE"/>
    <w:rsid w:val="007E64D9"/>
    <w:rsid w:val="007F6A8C"/>
    <w:rsid w:val="00801493"/>
    <w:rsid w:val="008050F5"/>
    <w:rsid w:val="0081068B"/>
    <w:rsid w:val="00811DCF"/>
    <w:rsid w:val="00812324"/>
    <w:rsid w:val="00814D4C"/>
    <w:rsid w:val="008167FE"/>
    <w:rsid w:val="008265E8"/>
    <w:rsid w:val="008270CD"/>
    <w:rsid w:val="008270DF"/>
    <w:rsid w:val="00831437"/>
    <w:rsid w:val="008342A6"/>
    <w:rsid w:val="00837B64"/>
    <w:rsid w:val="0084123C"/>
    <w:rsid w:val="008438AF"/>
    <w:rsid w:val="00843FE8"/>
    <w:rsid w:val="00846F20"/>
    <w:rsid w:val="00847912"/>
    <w:rsid w:val="00854FA6"/>
    <w:rsid w:val="0085530C"/>
    <w:rsid w:val="00861DA2"/>
    <w:rsid w:val="0086406A"/>
    <w:rsid w:val="008656A6"/>
    <w:rsid w:val="00865C2F"/>
    <w:rsid w:val="0086676E"/>
    <w:rsid w:val="00875210"/>
    <w:rsid w:val="008763C5"/>
    <w:rsid w:val="008869D6"/>
    <w:rsid w:val="008A59A2"/>
    <w:rsid w:val="008A7F65"/>
    <w:rsid w:val="008C09B0"/>
    <w:rsid w:val="008F5C90"/>
    <w:rsid w:val="00906C6A"/>
    <w:rsid w:val="00914273"/>
    <w:rsid w:val="00916A80"/>
    <w:rsid w:val="009279BF"/>
    <w:rsid w:val="00937D26"/>
    <w:rsid w:val="00951C86"/>
    <w:rsid w:val="00955861"/>
    <w:rsid w:val="00956D7A"/>
    <w:rsid w:val="00965199"/>
    <w:rsid w:val="00966046"/>
    <w:rsid w:val="009770EE"/>
    <w:rsid w:val="009B521E"/>
    <w:rsid w:val="009C0167"/>
    <w:rsid w:val="009C1445"/>
    <w:rsid w:val="009D4EE5"/>
    <w:rsid w:val="00A10221"/>
    <w:rsid w:val="00A21B8D"/>
    <w:rsid w:val="00A22F1A"/>
    <w:rsid w:val="00A25B84"/>
    <w:rsid w:val="00A32450"/>
    <w:rsid w:val="00A41FC4"/>
    <w:rsid w:val="00A438C8"/>
    <w:rsid w:val="00A46877"/>
    <w:rsid w:val="00A47C6F"/>
    <w:rsid w:val="00A5492F"/>
    <w:rsid w:val="00A60DC3"/>
    <w:rsid w:val="00A60E56"/>
    <w:rsid w:val="00A7441D"/>
    <w:rsid w:val="00A823BE"/>
    <w:rsid w:val="00A91F56"/>
    <w:rsid w:val="00AA3EE9"/>
    <w:rsid w:val="00AA5E76"/>
    <w:rsid w:val="00AD7CD5"/>
    <w:rsid w:val="00AE05C9"/>
    <w:rsid w:val="00AE0A90"/>
    <w:rsid w:val="00AE4D14"/>
    <w:rsid w:val="00AF09E1"/>
    <w:rsid w:val="00AF2EBF"/>
    <w:rsid w:val="00B01132"/>
    <w:rsid w:val="00B06CA8"/>
    <w:rsid w:val="00B21645"/>
    <w:rsid w:val="00B21761"/>
    <w:rsid w:val="00B21FA3"/>
    <w:rsid w:val="00B307A7"/>
    <w:rsid w:val="00B30D86"/>
    <w:rsid w:val="00B33AE8"/>
    <w:rsid w:val="00B37B17"/>
    <w:rsid w:val="00B43BED"/>
    <w:rsid w:val="00B44DEE"/>
    <w:rsid w:val="00B45490"/>
    <w:rsid w:val="00B508DD"/>
    <w:rsid w:val="00B5520C"/>
    <w:rsid w:val="00B65C66"/>
    <w:rsid w:val="00B70B84"/>
    <w:rsid w:val="00B74C6C"/>
    <w:rsid w:val="00B7568E"/>
    <w:rsid w:val="00B8336E"/>
    <w:rsid w:val="00B865DB"/>
    <w:rsid w:val="00B921E0"/>
    <w:rsid w:val="00BA1600"/>
    <w:rsid w:val="00BA611B"/>
    <w:rsid w:val="00BB7F97"/>
    <w:rsid w:val="00BC4D68"/>
    <w:rsid w:val="00BD6786"/>
    <w:rsid w:val="00BE0DCE"/>
    <w:rsid w:val="00BE6898"/>
    <w:rsid w:val="00C06496"/>
    <w:rsid w:val="00C122AE"/>
    <w:rsid w:val="00C17665"/>
    <w:rsid w:val="00C32DF8"/>
    <w:rsid w:val="00C32EA3"/>
    <w:rsid w:val="00C40729"/>
    <w:rsid w:val="00C41DDB"/>
    <w:rsid w:val="00C46C5A"/>
    <w:rsid w:val="00C52ABE"/>
    <w:rsid w:val="00C53F90"/>
    <w:rsid w:val="00C65494"/>
    <w:rsid w:val="00C656B1"/>
    <w:rsid w:val="00C7056E"/>
    <w:rsid w:val="00C71C0E"/>
    <w:rsid w:val="00C92A8F"/>
    <w:rsid w:val="00CA2C57"/>
    <w:rsid w:val="00CB3A4C"/>
    <w:rsid w:val="00CB683A"/>
    <w:rsid w:val="00CB7C2C"/>
    <w:rsid w:val="00CC062F"/>
    <w:rsid w:val="00CC1768"/>
    <w:rsid w:val="00CC68E1"/>
    <w:rsid w:val="00CD0745"/>
    <w:rsid w:val="00CD363B"/>
    <w:rsid w:val="00CD3C90"/>
    <w:rsid w:val="00CD59B1"/>
    <w:rsid w:val="00CF098A"/>
    <w:rsid w:val="00CF3041"/>
    <w:rsid w:val="00D123C1"/>
    <w:rsid w:val="00D13F25"/>
    <w:rsid w:val="00D234FD"/>
    <w:rsid w:val="00D2600B"/>
    <w:rsid w:val="00D27E57"/>
    <w:rsid w:val="00D46FE7"/>
    <w:rsid w:val="00D51B61"/>
    <w:rsid w:val="00D56571"/>
    <w:rsid w:val="00D67DE0"/>
    <w:rsid w:val="00D73E09"/>
    <w:rsid w:val="00D74F66"/>
    <w:rsid w:val="00D82FBD"/>
    <w:rsid w:val="00D9338F"/>
    <w:rsid w:val="00D9582C"/>
    <w:rsid w:val="00DA043A"/>
    <w:rsid w:val="00DA116C"/>
    <w:rsid w:val="00DA22C9"/>
    <w:rsid w:val="00DB0B0F"/>
    <w:rsid w:val="00DB419A"/>
    <w:rsid w:val="00DC195F"/>
    <w:rsid w:val="00DC68D5"/>
    <w:rsid w:val="00DD37B4"/>
    <w:rsid w:val="00DD422D"/>
    <w:rsid w:val="00DE5BE3"/>
    <w:rsid w:val="00DE7120"/>
    <w:rsid w:val="00E11D29"/>
    <w:rsid w:val="00E12DA3"/>
    <w:rsid w:val="00E1588B"/>
    <w:rsid w:val="00E1717A"/>
    <w:rsid w:val="00E256FC"/>
    <w:rsid w:val="00E3221E"/>
    <w:rsid w:val="00E37E77"/>
    <w:rsid w:val="00E5111B"/>
    <w:rsid w:val="00E54214"/>
    <w:rsid w:val="00E67D1B"/>
    <w:rsid w:val="00E74C04"/>
    <w:rsid w:val="00E7537D"/>
    <w:rsid w:val="00E76E67"/>
    <w:rsid w:val="00E840B6"/>
    <w:rsid w:val="00E845AB"/>
    <w:rsid w:val="00E8579D"/>
    <w:rsid w:val="00E915B2"/>
    <w:rsid w:val="00E928F1"/>
    <w:rsid w:val="00EA0A58"/>
    <w:rsid w:val="00EA246B"/>
    <w:rsid w:val="00EA3454"/>
    <w:rsid w:val="00EB2786"/>
    <w:rsid w:val="00EB589C"/>
    <w:rsid w:val="00EB6791"/>
    <w:rsid w:val="00EC35A4"/>
    <w:rsid w:val="00EC4454"/>
    <w:rsid w:val="00EC52F6"/>
    <w:rsid w:val="00ED0363"/>
    <w:rsid w:val="00ED1108"/>
    <w:rsid w:val="00ED1FC8"/>
    <w:rsid w:val="00ED43BB"/>
    <w:rsid w:val="00EE43B0"/>
    <w:rsid w:val="00EF1E93"/>
    <w:rsid w:val="00EF3F75"/>
    <w:rsid w:val="00EF6661"/>
    <w:rsid w:val="00F04293"/>
    <w:rsid w:val="00F23E05"/>
    <w:rsid w:val="00F25441"/>
    <w:rsid w:val="00F260BE"/>
    <w:rsid w:val="00F33643"/>
    <w:rsid w:val="00F34C66"/>
    <w:rsid w:val="00F3743B"/>
    <w:rsid w:val="00F43697"/>
    <w:rsid w:val="00F521A4"/>
    <w:rsid w:val="00F52C18"/>
    <w:rsid w:val="00F56866"/>
    <w:rsid w:val="00F62A6F"/>
    <w:rsid w:val="00F6410E"/>
    <w:rsid w:val="00F74EB6"/>
    <w:rsid w:val="00F810E0"/>
    <w:rsid w:val="00F8432C"/>
    <w:rsid w:val="00F91D83"/>
    <w:rsid w:val="00F91F93"/>
    <w:rsid w:val="00F93A64"/>
    <w:rsid w:val="00F94A2A"/>
    <w:rsid w:val="00FA112C"/>
    <w:rsid w:val="00FB141A"/>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E54214"/>
    <w:rPr>
      <w:color w:val="605E5C"/>
      <w:shd w:val="clear" w:color="auto" w:fill="E1DFDD"/>
    </w:rPr>
  </w:style>
  <w:style w:type="paragraph" w:styleId="FootnoteText">
    <w:name w:val="footnote text"/>
    <w:aliases w:val="Car,FT,ft,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7955D9"/>
    <w:pPr>
      <w:keepNext/>
      <w:keepLines/>
      <w:widowControl w:val="0"/>
      <w:spacing w:before="40" w:after="40" w:line="240" w:lineRule="atLeast"/>
      <w:ind w:left="360" w:hanging="360"/>
    </w:pPr>
    <w:rPr>
      <w:rFonts w:ascii="Garamond" w:eastAsia="Times New Roman" w:hAnsi="Garamond"/>
      <w:sz w:val="18"/>
      <w:lang w:val="en-GB"/>
    </w:rPr>
  </w:style>
  <w:style w:type="character" w:customStyle="1" w:styleId="FootnoteTextChar">
    <w:name w:val="Footnote Text Char"/>
    <w:aliases w:val="Car Char,FT Char,ft Char,Char3 Char, Char3 Char,Fußnotentextf Char,Fußnotentextr Char,stile 1 Char,Footnote1 Char,Footnote2 Char,Footnote3 Char,Footnote4 Char,Footnote5 Char,Footnote6 Char,Footnote7 Char,Footnote8 Char,Footnote9 Char"/>
    <w:basedOn w:val="DefaultParagraphFont"/>
    <w:link w:val="FootnoteText"/>
    <w:uiPriority w:val="99"/>
    <w:rsid w:val="007955D9"/>
    <w:rPr>
      <w:rFonts w:ascii="Garamond" w:eastAsia="Times New Roman" w:hAnsi="Garamond"/>
      <w:sz w:val="18"/>
      <w:lang w:val="en-GB"/>
    </w:rPr>
  </w:style>
  <w:style w:type="paragraph" w:styleId="ListParagraph">
    <w:name w:val="List Paragraph"/>
    <w:aliases w:val="Cell bullets"/>
    <w:basedOn w:val="Normal"/>
    <w:link w:val="ListParagraphChar"/>
    <w:uiPriority w:val="34"/>
    <w:qFormat/>
    <w:rsid w:val="00ED1108"/>
    <w:pPr>
      <w:widowControl w:val="0"/>
      <w:spacing w:before="60" w:after="60" w:line="240" w:lineRule="atLeast"/>
      <w:ind w:left="720"/>
      <w:contextualSpacing/>
    </w:pPr>
    <w:rPr>
      <w:rFonts w:eastAsia="Times New Roman"/>
      <w:sz w:val="20"/>
      <w:lang w:val="en-GB"/>
    </w:rPr>
  </w:style>
  <w:style w:type="character" w:customStyle="1" w:styleId="ListParagraphChar">
    <w:name w:val="List Paragraph Char"/>
    <w:aliases w:val="Cell bullets Char"/>
    <w:basedOn w:val="DefaultParagraphFont"/>
    <w:link w:val="ListParagraph"/>
    <w:uiPriority w:val="34"/>
    <w:rsid w:val="00ED1108"/>
    <w:rPr>
      <w:rFonts w:ascii="Times New Roman" w:eastAsia="Times New Roman" w:hAnsi="Times New Roman"/>
      <w:lang w:val="en-GB"/>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rsid w:val="008167FE"/>
    <w:rPr>
      <w:rFonts w:cs="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harvey@eu.gfma.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fma.org/foreign-exch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lobalfx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is.org/statistics/rpfx25.ht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fma.org/wp-content/uploads/2026/04/fx-payment-splitting-shaping-apr2026.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MSKTH6SNCJSU-234293521-52306</_dlc_DocId>
    <_dlc_DocIdUrl xmlns="806285ac-449a-4fb1-8311-58d88e150cc7">
      <Url>https://swiftcorp.sharepoint.com/sites/ps-ow-standards team/_layouts/15/DocIdRedir.aspx?ID=MSKTH6SNCJSU-234293521-52306</Url>
      <Description>MSKTH6SNCJSU-234293521-52306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D8302-9CFC-4077-8F90-563FB01E6330}">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7A902157-52E4-4305-9AB3-B9DDEC0FE0B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35CCD4A0-FFAF-4F8B-8554-C3D4F15378D2}">
  <ds:schemaRefs>
    <ds:schemaRef ds:uri="http://schemas.microsoft.com/sharepoint/events"/>
  </ds:schemaRefs>
</ds:datastoreItem>
</file>

<file path=customXml/itemProps5.xml><?xml version="1.0" encoding="utf-8"?>
<ds:datastoreItem xmlns:ds="http://schemas.openxmlformats.org/officeDocument/2006/customXml" ds:itemID="{C0197CAD-C5CA-4724-8B5E-EC3FC7F78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884</Words>
  <Characters>5067</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5895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2026-05-12T11:19:00Z</dcterms:created>
  <dcterms:modified xsi:type="dcterms:W3CDTF">2026-05-12T11:29:00Z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8fe3cc68-aa21-4f51-b0f6-61e8a80b755a</vt:lpwstr>
  </property>
</Properties>
</file>