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BC58A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1FD62C28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7668B905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2A8EE164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46697472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396F404E" w14:textId="77777777" w:rsidTr="00021E80">
        <w:tc>
          <w:tcPr>
            <w:tcW w:w="2500" w:type="pct"/>
          </w:tcPr>
          <w:p w14:paraId="56A51F51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17AF4177" w14:textId="77777777" w:rsidR="00021E80" w:rsidRPr="00021E80" w:rsidRDefault="00200427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4CB</w:t>
            </w:r>
          </w:p>
        </w:tc>
      </w:tr>
    </w:tbl>
    <w:p w14:paraId="7C02D483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139FA02D" w14:textId="77777777" w:rsidR="00021E80" w:rsidRDefault="00021E80" w:rsidP="003A053F">
      <w:r w:rsidRPr="00021E80">
        <w:t>Person that can be contacted for additional information on the request</w:t>
      </w:r>
    </w:p>
    <w:p w14:paraId="6DD0981D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1725FD93" w14:textId="77777777" w:rsidTr="00021E80">
        <w:tc>
          <w:tcPr>
            <w:tcW w:w="1952" w:type="pct"/>
          </w:tcPr>
          <w:p w14:paraId="76689275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24C79182" w14:textId="211F7310" w:rsidR="00021E80" w:rsidRPr="00021E80" w:rsidRDefault="0053763D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Riccardo Mancini</w:t>
            </w:r>
          </w:p>
        </w:tc>
      </w:tr>
      <w:tr w:rsidR="00021E80" w:rsidRPr="00021E80" w14:paraId="162F02A4" w14:textId="77777777" w:rsidTr="00021E80">
        <w:tc>
          <w:tcPr>
            <w:tcW w:w="1952" w:type="pct"/>
          </w:tcPr>
          <w:p w14:paraId="277D9F9C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35A8C1C4" w14:textId="77777777" w:rsidR="00021E80" w:rsidRDefault="0053763D" w:rsidP="00821646">
            <w:pPr>
              <w:pStyle w:val="Heading3"/>
              <w:spacing w:after="0"/>
              <w:ind w:left="0" w:firstLine="0"/>
              <w:rPr>
                <w:b w:val="0"/>
                <w:lang w:val="en-GB"/>
              </w:rPr>
            </w:pPr>
            <w:hyperlink r:id="rId9" w:history="1">
              <w:r w:rsidRPr="00A24A0C">
                <w:rPr>
                  <w:rStyle w:val="Hyperlink"/>
                  <w:b w:val="0"/>
                  <w:lang w:val="en-GB"/>
                </w:rPr>
                <w:t>riccardo.mancini@bancaditalia.it</w:t>
              </w:r>
            </w:hyperlink>
          </w:p>
          <w:p w14:paraId="261E5B70" w14:textId="45AC9A6F" w:rsidR="0053763D" w:rsidRDefault="00B14A05" w:rsidP="00821646">
            <w:pPr>
              <w:spacing w:before="0"/>
            </w:pPr>
            <w:hyperlink r:id="rId10" w:history="1">
              <w:r w:rsidRPr="00EF191F">
                <w:rPr>
                  <w:rStyle w:val="Hyperlink"/>
                  <w:sz w:val="24"/>
                  <w:szCs w:val="24"/>
                  <w:lang w:val="en-GB"/>
                </w:rPr>
                <w:t>T2S-FIT@bancaditalia.it</w:t>
              </w:r>
            </w:hyperlink>
          </w:p>
          <w:p w14:paraId="10E93045" w14:textId="280A34BB" w:rsidR="0004539A" w:rsidRDefault="0004539A" w:rsidP="00821646">
            <w:pPr>
              <w:spacing w:before="0"/>
              <w:rPr>
                <w:sz w:val="24"/>
                <w:szCs w:val="24"/>
                <w:lang w:val="en-GB"/>
              </w:rPr>
            </w:pPr>
          </w:p>
          <w:p w14:paraId="314633D9" w14:textId="158F35E2" w:rsidR="0004539A" w:rsidRPr="0053763D" w:rsidRDefault="0004539A" w:rsidP="00821646">
            <w:pPr>
              <w:spacing w:before="0"/>
              <w:rPr>
                <w:sz w:val="24"/>
                <w:szCs w:val="24"/>
                <w:lang w:val="en-GB"/>
              </w:rPr>
            </w:pPr>
            <w:hyperlink r:id="rId11" w:history="1">
              <w:r w:rsidRPr="00917FC4">
                <w:rPr>
                  <w:rStyle w:val="Hyperlink"/>
                  <w:sz w:val="24"/>
                  <w:szCs w:val="24"/>
                  <w:lang w:val="en-GB"/>
                </w:rPr>
                <w:t>t2s-fam@bundesbank.de</w:t>
              </w:r>
            </w:hyperlink>
            <w:r>
              <w:rPr>
                <w:sz w:val="24"/>
                <w:szCs w:val="24"/>
                <w:lang w:val="en-GB"/>
              </w:rPr>
              <w:t xml:space="preserve"> </w:t>
            </w:r>
          </w:p>
          <w:p w14:paraId="75A6AC5B" w14:textId="77777777" w:rsidR="0053763D" w:rsidRPr="0053763D" w:rsidRDefault="0053763D" w:rsidP="0053763D">
            <w:pPr>
              <w:rPr>
                <w:lang w:val="en-GB"/>
              </w:rPr>
            </w:pPr>
          </w:p>
        </w:tc>
      </w:tr>
      <w:tr w:rsidR="00021E80" w:rsidRPr="00021E80" w14:paraId="0024EC59" w14:textId="77777777" w:rsidTr="00021E80">
        <w:tc>
          <w:tcPr>
            <w:tcW w:w="1952" w:type="pct"/>
          </w:tcPr>
          <w:p w14:paraId="2485107E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1FD66D1E" w14:textId="466536BF" w:rsidR="00021E80" w:rsidRPr="00021E80" w:rsidRDefault="00B14A05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+39 06 4792 6024</w:t>
            </w:r>
          </w:p>
        </w:tc>
      </w:tr>
    </w:tbl>
    <w:p w14:paraId="238BBAA5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42841B24" w14:textId="77777777" w:rsidR="00633EA4" w:rsidRDefault="00633EA4" w:rsidP="003A053F">
      <w:r>
        <w:t>If the submitter acts on behalf of or has gained support from other organisations, groups, initiatives or communities, these should be listed as sponsors.</w:t>
      </w:r>
    </w:p>
    <w:p w14:paraId="61121C14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49926B9" w14:textId="77777777" w:rsidTr="003A053F">
        <w:tc>
          <w:tcPr>
            <w:tcW w:w="8978" w:type="dxa"/>
          </w:tcPr>
          <w:p w14:paraId="0ECC099B" w14:textId="77777777" w:rsidR="003A053F" w:rsidRDefault="00200427" w:rsidP="003A053F">
            <w:r>
              <w:t>SWIFT</w:t>
            </w:r>
          </w:p>
        </w:tc>
      </w:tr>
    </w:tbl>
    <w:p w14:paraId="426F4F83" w14:textId="77777777" w:rsidR="003A053F" w:rsidRDefault="003A053F" w:rsidP="003A053F"/>
    <w:p w14:paraId="434A394B" w14:textId="77777777" w:rsidR="003A053F" w:rsidRDefault="003A053F" w:rsidP="003A053F">
      <w:r>
        <w:br w:type="page"/>
      </w:r>
    </w:p>
    <w:p w14:paraId="1184D0E2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2F4E3163" w14:textId="77777777" w:rsidR="00622329" w:rsidRDefault="00622329" w:rsidP="003A053F">
      <w:r>
        <w:t>Specify the request type: creation of new code set, update of existing code set, deletion of existing code set.</w:t>
      </w:r>
    </w:p>
    <w:p w14:paraId="65C98126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7E6C7501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1C3DC027" w14:textId="77777777" w:rsidTr="00CE2FCC">
        <w:tc>
          <w:tcPr>
            <w:tcW w:w="4485" w:type="dxa"/>
          </w:tcPr>
          <w:p w14:paraId="21D19E47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01B1C777" w14:textId="7EFD4BC4" w:rsidR="00622329" w:rsidRPr="00622329" w:rsidRDefault="00131D53" w:rsidP="00851BC7">
            <w:r>
              <w:t>Creation</w:t>
            </w:r>
          </w:p>
        </w:tc>
      </w:tr>
    </w:tbl>
    <w:p w14:paraId="08015A30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36ED8887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2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519B7982" w14:textId="77777777" w:rsidR="00CE2FCC" w:rsidRDefault="00CE2FCC" w:rsidP="00CE2FCC">
      <w:r w:rsidRPr="00CD0854">
        <w:t>A specific change request form must be completed for each code set to be updated.</w:t>
      </w:r>
    </w:p>
    <w:p w14:paraId="54916198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59A322E3" w14:textId="77777777" w:rsidTr="00E46DB1">
        <w:tc>
          <w:tcPr>
            <w:tcW w:w="8978" w:type="dxa"/>
          </w:tcPr>
          <w:p w14:paraId="6859D73D" w14:textId="0B1072AA" w:rsidR="00CE2FCC" w:rsidRDefault="0053763D" w:rsidP="00E46DB1">
            <w:r w:rsidRPr="0053763D">
              <w:t>External</w:t>
            </w:r>
            <w:r w:rsidR="00131D53">
              <w:t>SecuritiesAccount</w:t>
            </w:r>
            <w:r w:rsidRPr="0053763D">
              <w:t>Type1Code</w:t>
            </w:r>
          </w:p>
        </w:tc>
      </w:tr>
    </w:tbl>
    <w:p w14:paraId="627E5599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23A6C772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503E135D" w14:textId="7E912AEF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</w:t>
      </w:r>
      <w:r w:rsidR="00131D53">
        <w:rPr>
          <w:szCs w:val="24"/>
        </w:rPr>
        <w:t>created</w:t>
      </w:r>
      <w:r w:rsidR="00320A89" w:rsidRPr="00CD0854">
        <w:rPr>
          <w:szCs w:val="24"/>
        </w:rPr>
        <w:t xml:space="preserve">. </w:t>
      </w:r>
      <w:r w:rsidR="00320A89" w:rsidRPr="00CD0854">
        <w:t xml:space="preserve">The reason for the </w:t>
      </w:r>
      <w:r w:rsidR="00131D53">
        <w:t>creation</w:t>
      </w:r>
      <w:r w:rsidR="00320A89" w:rsidRPr="00CD0854">
        <w:t xml:space="preserve">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7879C467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0F1DE99" w14:textId="77777777" w:rsidTr="00423B72">
        <w:tc>
          <w:tcPr>
            <w:tcW w:w="8978" w:type="dxa"/>
          </w:tcPr>
          <w:p w14:paraId="5BE49100" w14:textId="507D3986" w:rsidR="00BC2DA7" w:rsidRDefault="004A0CD1" w:rsidP="0067535D">
            <w:r>
              <w:t>In 202</w:t>
            </w:r>
            <w:r w:rsidR="00BC2DA7">
              <w:t>3</w:t>
            </w:r>
            <w:r>
              <w:t>, d</w:t>
            </w:r>
            <w:r w:rsidR="0053763D">
              <w:t>uring the ISO20022 registration process for T2S messages relat</w:t>
            </w:r>
            <w:r>
              <w:t xml:space="preserve">ed to </w:t>
            </w:r>
            <w:r w:rsidR="00BC2DA7">
              <w:t xml:space="preserve">Securities Accounts </w:t>
            </w:r>
            <w:r w:rsidR="0053763D">
              <w:t>(</w:t>
            </w:r>
            <w:r w:rsidR="0053763D" w:rsidRPr="0053763D">
              <w:t>reda.01</w:t>
            </w:r>
            <w:r w:rsidR="00BC2DA7">
              <w:t>8</w:t>
            </w:r>
            <w:r w:rsidR="0053763D">
              <w:t>, reda.0</w:t>
            </w:r>
            <w:r w:rsidR="00BC2DA7">
              <w:t>19</w:t>
            </w:r>
            <w:r w:rsidR="0053763D">
              <w:t>, reda</w:t>
            </w:r>
            <w:r w:rsidR="00BC2DA7">
              <w:t>.020</w:t>
            </w:r>
            <w:r w:rsidR="0053763D">
              <w:t>, reda.0</w:t>
            </w:r>
            <w:r w:rsidR="00BC2DA7">
              <w:t>21</w:t>
            </w:r>
            <w:r>
              <w:t>, reda.0</w:t>
            </w:r>
            <w:r w:rsidR="00BC2DA7">
              <w:t>23</w:t>
            </w:r>
            <w:r>
              <w:t>, reda.</w:t>
            </w:r>
            <w:r w:rsidR="00BC2DA7">
              <w:t>032</w:t>
            </w:r>
            <w:r>
              <w:t>, reda.0</w:t>
            </w:r>
            <w:r w:rsidR="00BC2DA7">
              <w:t>35</w:t>
            </w:r>
            <w:r>
              <w:t>, reda.0</w:t>
            </w:r>
            <w:r w:rsidR="00BC2DA7">
              <w:t>36</w:t>
            </w:r>
            <w:r>
              <w:t>, reda.0</w:t>
            </w:r>
            <w:r w:rsidR="00BC2DA7">
              <w:t>37</w:t>
            </w:r>
            <w:r>
              <w:t xml:space="preserve">), the </w:t>
            </w:r>
            <w:r w:rsidR="00BC2DA7">
              <w:t>Securities Account Type has not been implemented via a registered external code set but using a proprietary data type and a customised list.</w:t>
            </w:r>
          </w:p>
          <w:p w14:paraId="727099A7" w14:textId="7C1FE249" w:rsidR="003A053F" w:rsidRDefault="00BC2DA7" w:rsidP="0067535D">
            <w:r>
              <w:t xml:space="preserve">The proposed </w:t>
            </w:r>
            <w:bookmarkStart w:id="0" w:name="_Hlk216266296"/>
            <w:r w:rsidR="004A0CD1" w:rsidRPr="0053763D">
              <w:t>ExternalS</w:t>
            </w:r>
            <w:r>
              <w:t>ecuritiesAccount</w:t>
            </w:r>
            <w:r w:rsidR="004A0CD1" w:rsidRPr="0053763D">
              <w:t>Type1Code</w:t>
            </w:r>
            <w:bookmarkEnd w:id="0"/>
            <w:r w:rsidR="004A0CD1">
              <w:t xml:space="preserve"> external code set </w:t>
            </w:r>
            <w:r>
              <w:t>creation is meant to replace the customised list improving the ISO20022 standard compliance for the message set.</w:t>
            </w:r>
          </w:p>
          <w:p w14:paraId="64C38DC8" w14:textId="1BCA00A7" w:rsidR="0067535D" w:rsidRDefault="0067535D" w:rsidP="0067535D">
            <w:r>
              <w:t xml:space="preserve">The purpose of this change request is to introduce the </w:t>
            </w:r>
            <w:r w:rsidR="00BC2DA7">
              <w:t xml:space="preserve">new external code set defined with the </w:t>
            </w:r>
            <w:r>
              <w:t>following codes</w:t>
            </w:r>
            <w:r w:rsidR="00966646">
              <w:t>,</w:t>
            </w:r>
            <w:r>
              <w:t xml:space="preserve"> used in the TARGET Services (T2S</w:t>
            </w:r>
            <w:r w:rsidR="00BC2DA7">
              <w:t xml:space="preserve"> and </w:t>
            </w:r>
            <w:r>
              <w:t>ECMS):</w:t>
            </w:r>
          </w:p>
          <w:p w14:paraId="3D232412" w14:textId="0BF0DBDB" w:rsidR="00966646" w:rsidRDefault="00966646" w:rsidP="00966646">
            <w:pPr>
              <w:pStyle w:val="ListParagraph"/>
              <w:numPr>
                <w:ilvl w:val="0"/>
                <w:numId w:val="29"/>
              </w:numPr>
            </w:pPr>
            <w:r>
              <w:t>“</w:t>
            </w:r>
            <w:r w:rsidR="005D5568">
              <w:t>CSDM</w:t>
            </w:r>
            <w:r>
              <w:t xml:space="preserve">”: </w:t>
            </w:r>
            <w:r w:rsidR="005D5568">
              <w:t>CSD Mirror Account</w:t>
            </w:r>
            <w:r>
              <w:t>;</w:t>
            </w:r>
          </w:p>
          <w:p w14:paraId="082BAE65" w14:textId="1F27E0C2" w:rsidR="0067535D" w:rsidRDefault="0067535D" w:rsidP="00CA503A">
            <w:pPr>
              <w:pStyle w:val="ListParagraph"/>
              <w:numPr>
                <w:ilvl w:val="0"/>
                <w:numId w:val="29"/>
              </w:numPr>
            </w:pPr>
            <w:r>
              <w:t>“</w:t>
            </w:r>
            <w:r w:rsidR="005D5568">
              <w:t>CSDO</w:t>
            </w:r>
            <w:r>
              <w:t xml:space="preserve">”: </w:t>
            </w:r>
            <w:r w:rsidR="005D5568">
              <w:t>CSD Omnibus Account</w:t>
            </w:r>
            <w:r>
              <w:t>;</w:t>
            </w:r>
          </w:p>
          <w:p w14:paraId="0ECE02BB" w14:textId="0AEFA7D4" w:rsidR="0067535D" w:rsidRDefault="0067535D" w:rsidP="00CA503A">
            <w:pPr>
              <w:pStyle w:val="ListParagraph"/>
              <w:numPr>
                <w:ilvl w:val="0"/>
                <w:numId w:val="29"/>
              </w:numPr>
            </w:pPr>
            <w:r>
              <w:t>“</w:t>
            </w:r>
            <w:r w:rsidR="005D5568">
              <w:t>CSDP</w:t>
            </w:r>
            <w:r>
              <w:t xml:space="preserve">”: </w:t>
            </w:r>
            <w:r w:rsidR="005D5568">
              <w:t>CSD Participant Account</w:t>
            </w:r>
            <w:r>
              <w:t>;</w:t>
            </w:r>
          </w:p>
          <w:p w14:paraId="104B6F97" w14:textId="5CA45B72" w:rsidR="00966646" w:rsidRDefault="00966646" w:rsidP="00966646">
            <w:pPr>
              <w:pStyle w:val="ListParagraph"/>
              <w:numPr>
                <w:ilvl w:val="0"/>
                <w:numId w:val="29"/>
              </w:numPr>
            </w:pPr>
            <w:r>
              <w:t>“</w:t>
            </w:r>
            <w:r w:rsidR="005D5568">
              <w:t>ICSA</w:t>
            </w:r>
            <w:r>
              <w:t xml:space="preserve">”: </w:t>
            </w:r>
            <w:r w:rsidR="005D5568">
              <w:t>Inter CSD Account</w:t>
            </w:r>
            <w:r>
              <w:t>;</w:t>
            </w:r>
          </w:p>
          <w:p w14:paraId="3904BB6A" w14:textId="59D1D120" w:rsidR="0067535D" w:rsidRDefault="0067535D" w:rsidP="0067535D">
            <w:pPr>
              <w:pStyle w:val="ListParagraph"/>
              <w:numPr>
                <w:ilvl w:val="0"/>
                <w:numId w:val="29"/>
              </w:numPr>
            </w:pPr>
            <w:r>
              <w:t>“</w:t>
            </w:r>
            <w:r w:rsidR="005D5568">
              <w:t>ISSA</w:t>
            </w:r>
            <w:r>
              <w:t xml:space="preserve">”: </w:t>
            </w:r>
            <w:r w:rsidR="005D5568">
              <w:t>Issuance Account</w:t>
            </w:r>
            <w:r>
              <w:t>;</w:t>
            </w:r>
          </w:p>
          <w:p w14:paraId="059696E5" w14:textId="39B8A120" w:rsidR="0067535D" w:rsidRDefault="0067535D" w:rsidP="00907F0A">
            <w:pPr>
              <w:pStyle w:val="ListParagraph"/>
              <w:numPr>
                <w:ilvl w:val="0"/>
                <w:numId w:val="29"/>
              </w:numPr>
            </w:pPr>
            <w:r>
              <w:t>“</w:t>
            </w:r>
            <w:r w:rsidR="005D5568">
              <w:t>TOFF</w:t>
            </w:r>
            <w:r>
              <w:t xml:space="preserve">”: </w:t>
            </w:r>
            <w:r w:rsidR="005D5568">
              <w:t>Technical Offset Account;</w:t>
            </w:r>
          </w:p>
          <w:p w14:paraId="7F607CCF" w14:textId="126807C9" w:rsidR="005D5568" w:rsidRDefault="005D5568" w:rsidP="00907F0A">
            <w:pPr>
              <w:pStyle w:val="ListParagraph"/>
              <w:numPr>
                <w:ilvl w:val="0"/>
                <w:numId w:val="29"/>
              </w:numPr>
            </w:pPr>
            <w:r>
              <w:t>“ENDI” : End Investor Account</w:t>
            </w:r>
          </w:p>
          <w:p w14:paraId="7D278A4E" w14:textId="77777777" w:rsidR="0067535D" w:rsidRDefault="0067535D" w:rsidP="0067535D">
            <w:r>
              <w:lastRenderedPageBreak/>
              <w:tab/>
            </w:r>
            <w:r>
              <w:tab/>
            </w:r>
          </w:p>
        </w:tc>
      </w:tr>
    </w:tbl>
    <w:p w14:paraId="09F594FD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2D6155B3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0A2178D1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412493A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6E067F5" w14:textId="77777777" w:rsidTr="00423B72">
        <w:tc>
          <w:tcPr>
            <w:tcW w:w="8978" w:type="dxa"/>
          </w:tcPr>
          <w:p w14:paraId="33419AE7" w14:textId="77777777" w:rsidR="003A053F" w:rsidRDefault="00AD08FD" w:rsidP="00AD08FD">
            <w:pPr>
              <w:pStyle w:val="BodyText"/>
              <w:spacing w:before="141"/>
              <w:ind w:left="103" w:right="101"/>
              <w:jc w:val="both"/>
            </w:pPr>
            <w:r>
              <w:t>No urgency</w:t>
            </w:r>
            <w:r w:rsidR="00112B51">
              <w:t xml:space="preserve"> for an early delivery</w:t>
            </w:r>
            <w:r>
              <w:t>: the p</w:t>
            </w:r>
            <w:r w:rsidR="0067535D">
              <w:t xml:space="preserve">ublication in the next quarterly External Code Set will </w:t>
            </w:r>
            <w:r w:rsidR="00AE0576">
              <w:t xml:space="preserve">avoid the usage of </w:t>
            </w:r>
            <w:r w:rsidR="0067535D">
              <w:t>an incorrect customisation of the field or a proprietary list of codes, as it happens today.</w:t>
            </w:r>
          </w:p>
        </w:tc>
      </w:tr>
    </w:tbl>
    <w:p w14:paraId="1A010C41" w14:textId="77777777" w:rsidR="00622329" w:rsidRDefault="00622329" w:rsidP="00622329">
      <w:pPr>
        <w:rPr>
          <w:lang w:val="en-GB"/>
        </w:rPr>
      </w:pPr>
    </w:p>
    <w:p w14:paraId="353FE2F8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EF31743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7ED05701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19A6B056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39951BD" w14:textId="77777777" w:rsidTr="00423B72">
        <w:tc>
          <w:tcPr>
            <w:tcW w:w="8978" w:type="dxa"/>
          </w:tcPr>
          <w:p w14:paraId="2AC7872B" w14:textId="1E252804" w:rsidR="003A053F" w:rsidRDefault="0067535D" w:rsidP="00AE0576">
            <w:r>
              <w:t xml:space="preserve">A </w:t>
            </w:r>
            <w:r w:rsidR="005D5568">
              <w:t>CSD</w:t>
            </w:r>
            <w:r>
              <w:t xml:space="preserve"> sends a reda.01</w:t>
            </w:r>
            <w:r w:rsidR="005D5568">
              <w:t>8</w:t>
            </w:r>
            <w:r>
              <w:t xml:space="preserve"> in order to create a</w:t>
            </w:r>
            <w:r w:rsidR="005D5568">
              <w:t>n End Investor Account</w:t>
            </w:r>
            <w:r w:rsidR="00AE0576">
              <w:t xml:space="preserve">: the </w:t>
            </w:r>
            <w:r w:rsidR="005D5568">
              <w:t>securities account</w:t>
            </w:r>
            <w:r w:rsidR="00AE0576">
              <w:t xml:space="preserve"> type “</w:t>
            </w:r>
            <w:r w:rsidR="005D5568">
              <w:t>ENDI</w:t>
            </w:r>
            <w:r w:rsidR="00AE0576">
              <w:t>” (</w:t>
            </w:r>
            <w:r w:rsidR="005D5568">
              <w:t>End Investor</w:t>
            </w:r>
            <w:r w:rsidR="00AE0576">
              <w:t xml:space="preserve">) is specified in the message field </w:t>
            </w:r>
            <w:r w:rsidR="005D5568">
              <w:t>SctiesAcct</w:t>
            </w:r>
            <w:r w:rsidR="00AE0576" w:rsidRPr="00AE0576">
              <w:t>CreReq/</w:t>
            </w:r>
            <w:r w:rsidR="005D5568">
              <w:t>SctiesAcct</w:t>
            </w:r>
            <w:r w:rsidR="00AE0576" w:rsidRPr="00AE0576">
              <w:t>/Tp/Cd</w:t>
            </w:r>
          </w:p>
        </w:tc>
      </w:tr>
    </w:tbl>
    <w:p w14:paraId="6BE1A6AF" w14:textId="77777777" w:rsidR="00622329" w:rsidRDefault="00622329" w:rsidP="003A053F">
      <w:pPr>
        <w:rPr>
          <w:lang w:val="en-GB"/>
        </w:rPr>
      </w:pPr>
    </w:p>
    <w:p w14:paraId="7339BE93" w14:textId="77777777" w:rsidR="005D5568" w:rsidRDefault="005D5568" w:rsidP="005D5568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val="it-IT" w:eastAsia="en-GB"/>
        </w:rPr>
      </w:pPr>
      <w:r>
        <w:rPr>
          <w:rFonts w:ascii="Consolas" w:hAnsi="Consolas" w:cs="Consolas"/>
          <w:color w:val="0000FF"/>
          <w:sz w:val="20"/>
          <w:highlight w:val="white"/>
          <w:lang w:val="it-IT" w:eastAsia="en-GB"/>
        </w:rPr>
        <w:t>&lt;</w:t>
      </w:r>
      <w:r>
        <w:rPr>
          <w:rFonts w:ascii="Consolas" w:hAnsi="Consolas" w:cs="Consolas"/>
          <w:color w:val="800000"/>
          <w:sz w:val="20"/>
          <w:highlight w:val="white"/>
          <w:lang w:val="it-IT" w:eastAsia="en-GB"/>
        </w:rPr>
        <w:t>Document</w:t>
      </w:r>
      <w:r>
        <w:rPr>
          <w:rFonts w:ascii="Consolas" w:hAnsi="Consolas" w:cs="Consolas"/>
          <w:color w:val="FF0000"/>
          <w:sz w:val="20"/>
          <w:highlight w:val="white"/>
          <w:lang w:val="it-IT" w:eastAsia="en-GB"/>
        </w:rPr>
        <w:t xml:space="preserve"> xmlns</w:t>
      </w:r>
      <w:r>
        <w:rPr>
          <w:rFonts w:ascii="Consolas" w:hAnsi="Consolas" w:cs="Consolas"/>
          <w:color w:val="0000FF"/>
          <w:sz w:val="20"/>
          <w:highlight w:val="white"/>
          <w:lang w:val="it-IT" w:eastAsia="en-GB"/>
        </w:rPr>
        <w:t>="</w:t>
      </w:r>
      <w:r>
        <w:rPr>
          <w:rFonts w:ascii="Consolas" w:hAnsi="Consolas" w:cs="Consolas"/>
          <w:color w:val="000000"/>
          <w:sz w:val="20"/>
          <w:highlight w:val="white"/>
          <w:lang w:val="it-IT" w:eastAsia="en-GB"/>
        </w:rPr>
        <w:t>urn:iso:std:iso:20022:tech:xsd:reda.018.001.01</w:t>
      </w:r>
      <w:r>
        <w:rPr>
          <w:rFonts w:ascii="Consolas" w:hAnsi="Consolas" w:cs="Consolas"/>
          <w:color w:val="0000FF"/>
          <w:sz w:val="20"/>
          <w:highlight w:val="white"/>
          <w:lang w:val="it-IT" w:eastAsia="en-GB"/>
        </w:rPr>
        <w:t>"&gt;</w:t>
      </w:r>
    </w:p>
    <w:p w14:paraId="0950F196" w14:textId="77777777" w:rsidR="005D5568" w:rsidRPr="005D5568" w:rsidRDefault="005D5568" w:rsidP="005D5568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>
        <w:rPr>
          <w:rFonts w:ascii="Consolas" w:hAnsi="Consolas" w:cs="Consolas"/>
          <w:color w:val="000000"/>
          <w:sz w:val="20"/>
          <w:highlight w:val="white"/>
          <w:lang w:val="it-IT" w:eastAsia="en-GB"/>
        </w:rPr>
        <w:tab/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r w:rsidRPr="005D5568">
        <w:rPr>
          <w:rFonts w:ascii="Consolas" w:hAnsi="Consolas" w:cs="Consolas"/>
          <w:color w:val="800000"/>
          <w:sz w:val="20"/>
          <w:highlight w:val="white"/>
          <w:lang w:eastAsia="en-GB"/>
        </w:rPr>
        <w:t>SctiesAcctCreReq</w:t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0150B56D" w14:textId="77777777" w:rsidR="005D5568" w:rsidRPr="005D5568" w:rsidRDefault="005D5568" w:rsidP="005D5568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r w:rsidRPr="005D5568">
        <w:rPr>
          <w:rFonts w:ascii="Consolas" w:hAnsi="Consolas" w:cs="Consolas"/>
          <w:color w:val="800000"/>
          <w:sz w:val="20"/>
          <w:highlight w:val="white"/>
          <w:lang w:eastAsia="en-GB"/>
        </w:rPr>
        <w:t>MsgHdr</w:t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104CD757" w14:textId="4CA6E03D" w:rsidR="005D5568" w:rsidRPr="005D5568" w:rsidRDefault="005D5568" w:rsidP="005D5568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r w:rsidRPr="005D5568">
        <w:rPr>
          <w:rFonts w:ascii="Consolas" w:hAnsi="Consolas" w:cs="Consolas"/>
          <w:color w:val="800000"/>
          <w:sz w:val="20"/>
          <w:highlight w:val="white"/>
          <w:lang w:eastAsia="en-GB"/>
        </w:rPr>
        <w:t>MsgId</w:t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>ENDINVACCOUNT</w:t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r w:rsidRPr="005D5568">
        <w:rPr>
          <w:rFonts w:ascii="Consolas" w:hAnsi="Consolas" w:cs="Consolas"/>
          <w:color w:val="800000"/>
          <w:sz w:val="20"/>
          <w:highlight w:val="white"/>
          <w:lang w:eastAsia="en-GB"/>
        </w:rPr>
        <w:t>MsgId</w:t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6EEDD5AF" w14:textId="77777777" w:rsidR="005D5568" w:rsidRPr="005D5568" w:rsidRDefault="005D5568" w:rsidP="005D5568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r w:rsidRPr="005D5568">
        <w:rPr>
          <w:rFonts w:ascii="Consolas" w:hAnsi="Consolas" w:cs="Consolas"/>
          <w:color w:val="800000"/>
          <w:sz w:val="20"/>
          <w:highlight w:val="white"/>
          <w:lang w:eastAsia="en-GB"/>
        </w:rPr>
        <w:t>MsgHdr</w:t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352B7EF1" w14:textId="77777777" w:rsidR="005D5568" w:rsidRPr="005D5568" w:rsidRDefault="005D5568" w:rsidP="005D5568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r w:rsidRPr="005D5568">
        <w:rPr>
          <w:rFonts w:ascii="Consolas" w:hAnsi="Consolas" w:cs="Consolas"/>
          <w:color w:val="800000"/>
          <w:sz w:val="20"/>
          <w:highlight w:val="white"/>
          <w:lang w:eastAsia="en-GB"/>
        </w:rPr>
        <w:t>SctiesAcct</w:t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60B1B60C" w14:textId="77777777" w:rsidR="005D5568" w:rsidRPr="005D5568" w:rsidRDefault="005D5568" w:rsidP="005D5568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r w:rsidRPr="005D5568">
        <w:rPr>
          <w:rFonts w:ascii="Consolas" w:hAnsi="Consolas" w:cs="Consolas"/>
          <w:color w:val="800000"/>
          <w:sz w:val="20"/>
          <w:highlight w:val="white"/>
          <w:lang w:eastAsia="en-GB"/>
        </w:rPr>
        <w:t>AcctOwnr</w:t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1CA1C3AD" w14:textId="77777777" w:rsidR="005D5568" w:rsidRPr="005D5568" w:rsidRDefault="005D5568" w:rsidP="005D5568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r w:rsidRPr="005D5568">
        <w:rPr>
          <w:rFonts w:ascii="Consolas" w:hAnsi="Consolas" w:cs="Consolas"/>
          <w:color w:val="800000"/>
          <w:sz w:val="20"/>
          <w:highlight w:val="white"/>
          <w:lang w:eastAsia="en-GB"/>
        </w:rPr>
        <w:t>Id</w:t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04DC8B1C" w14:textId="77777777" w:rsidR="005D5568" w:rsidRPr="005D5568" w:rsidRDefault="005D5568" w:rsidP="005D5568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r w:rsidRPr="005D5568">
        <w:rPr>
          <w:rFonts w:ascii="Consolas" w:hAnsi="Consolas" w:cs="Consolas"/>
          <w:color w:val="800000"/>
          <w:sz w:val="20"/>
          <w:highlight w:val="white"/>
          <w:lang w:eastAsia="en-GB"/>
        </w:rPr>
        <w:t>Id</w:t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1BD15AAF" w14:textId="77777777" w:rsidR="005D5568" w:rsidRPr="005D5568" w:rsidRDefault="005D5568" w:rsidP="005D5568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r w:rsidRPr="005D5568">
        <w:rPr>
          <w:rFonts w:ascii="Consolas" w:hAnsi="Consolas" w:cs="Consolas"/>
          <w:color w:val="800000"/>
          <w:sz w:val="20"/>
          <w:highlight w:val="white"/>
          <w:lang w:eastAsia="en-GB"/>
        </w:rPr>
        <w:t>AnyBIC</w:t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>CSDPXXYYAAA</w:t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r w:rsidRPr="005D5568">
        <w:rPr>
          <w:rFonts w:ascii="Consolas" w:hAnsi="Consolas" w:cs="Consolas"/>
          <w:color w:val="800000"/>
          <w:sz w:val="20"/>
          <w:highlight w:val="white"/>
          <w:lang w:eastAsia="en-GB"/>
        </w:rPr>
        <w:t>AnyBIC</w:t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4990B72D" w14:textId="77777777" w:rsidR="005D5568" w:rsidRPr="005D5568" w:rsidRDefault="005D5568" w:rsidP="005D5568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r w:rsidRPr="005D5568">
        <w:rPr>
          <w:rFonts w:ascii="Consolas" w:hAnsi="Consolas" w:cs="Consolas"/>
          <w:color w:val="800000"/>
          <w:sz w:val="20"/>
          <w:highlight w:val="white"/>
          <w:lang w:eastAsia="en-GB"/>
        </w:rPr>
        <w:t>Id</w:t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</w:p>
    <w:p w14:paraId="4FD01DC0" w14:textId="77777777" w:rsidR="005D5568" w:rsidRPr="005D5568" w:rsidRDefault="005D5568" w:rsidP="005D5568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r w:rsidRPr="005D5568">
        <w:rPr>
          <w:rFonts w:ascii="Consolas" w:hAnsi="Consolas" w:cs="Consolas"/>
          <w:color w:val="800000"/>
          <w:sz w:val="20"/>
          <w:highlight w:val="white"/>
          <w:lang w:eastAsia="en-GB"/>
        </w:rPr>
        <w:t>Id</w:t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7E1237DF" w14:textId="77777777" w:rsidR="005D5568" w:rsidRPr="009E0AB7" w:rsidRDefault="005D5568" w:rsidP="005D5568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9E0AB7"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r w:rsidRPr="009E0AB7">
        <w:rPr>
          <w:rFonts w:ascii="Consolas" w:hAnsi="Consolas" w:cs="Consolas"/>
          <w:color w:val="800000"/>
          <w:sz w:val="20"/>
          <w:highlight w:val="white"/>
          <w:lang w:eastAsia="en-GB"/>
        </w:rPr>
        <w:t>RspnsblPtyId</w:t>
      </w:r>
      <w:r w:rsidRPr="009E0AB7"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1BF66026" w14:textId="77777777" w:rsidR="005D5568" w:rsidRPr="009E0AB7" w:rsidRDefault="005D5568" w:rsidP="005D5568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 w:rsidRPr="009E0AB7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9E0AB7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9E0AB7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9E0AB7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9E0AB7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9E0AB7"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r w:rsidRPr="009E0AB7">
        <w:rPr>
          <w:rFonts w:ascii="Consolas" w:hAnsi="Consolas" w:cs="Consolas"/>
          <w:color w:val="800000"/>
          <w:sz w:val="20"/>
          <w:highlight w:val="white"/>
          <w:lang w:eastAsia="en-GB"/>
        </w:rPr>
        <w:t>Id</w:t>
      </w:r>
      <w:r w:rsidRPr="009E0AB7"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55D34847" w14:textId="77777777" w:rsidR="005D5568" w:rsidRPr="009E0AB7" w:rsidRDefault="005D5568" w:rsidP="005D5568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 w:rsidRPr="009E0AB7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9E0AB7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9E0AB7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9E0AB7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9E0AB7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9E0AB7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9E0AB7"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r w:rsidRPr="009E0AB7">
        <w:rPr>
          <w:rFonts w:ascii="Consolas" w:hAnsi="Consolas" w:cs="Consolas"/>
          <w:color w:val="800000"/>
          <w:sz w:val="20"/>
          <w:highlight w:val="white"/>
          <w:lang w:eastAsia="en-GB"/>
        </w:rPr>
        <w:t>AnyBIC</w:t>
      </w:r>
      <w:r w:rsidRPr="009E0AB7"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  <w:r w:rsidRPr="009E0AB7">
        <w:rPr>
          <w:rFonts w:ascii="Consolas" w:hAnsi="Consolas" w:cs="Consolas"/>
          <w:color w:val="000000"/>
          <w:sz w:val="20"/>
          <w:highlight w:val="white"/>
          <w:lang w:eastAsia="en-GB"/>
        </w:rPr>
        <w:t>CSDAXXYYAAA</w:t>
      </w:r>
      <w:r w:rsidRPr="009E0AB7"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r w:rsidRPr="009E0AB7">
        <w:rPr>
          <w:rFonts w:ascii="Consolas" w:hAnsi="Consolas" w:cs="Consolas"/>
          <w:color w:val="800000"/>
          <w:sz w:val="20"/>
          <w:highlight w:val="white"/>
          <w:lang w:eastAsia="en-GB"/>
        </w:rPr>
        <w:t>AnyBIC</w:t>
      </w:r>
      <w:r w:rsidRPr="009E0AB7"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2588A7A8" w14:textId="77777777" w:rsidR="005D5568" w:rsidRPr="009E0AB7" w:rsidRDefault="005D5568" w:rsidP="005D5568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 w:rsidRPr="009E0AB7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9E0AB7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9E0AB7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9E0AB7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9E0AB7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9E0AB7"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r w:rsidRPr="009E0AB7">
        <w:rPr>
          <w:rFonts w:ascii="Consolas" w:hAnsi="Consolas" w:cs="Consolas"/>
          <w:color w:val="800000"/>
          <w:sz w:val="20"/>
          <w:highlight w:val="white"/>
          <w:lang w:eastAsia="en-GB"/>
        </w:rPr>
        <w:t>Id</w:t>
      </w:r>
      <w:r w:rsidRPr="009E0AB7"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  <w:r w:rsidRPr="009E0AB7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</w:p>
    <w:p w14:paraId="0694A609" w14:textId="77777777" w:rsidR="005D5568" w:rsidRPr="009E0AB7" w:rsidRDefault="005D5568" w:rsidP="005D5568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 w:rsidRPr="009E0AB7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9E0AB7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9E0AB7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9E0AB7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9E0AB7"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r w:rsidRPr="009E0AB7">
        <w:rPr>
          <w:rFonts w:ascii="Consolas" w:hAnsi="Consolas" w:cs="Consolas"/>
          <w:color w:val="800000"/>
          <w:sz w:val="20"/>
          <w:highlight w:val="white"/>
          <w:lang w:eastAsia="en-GB"/>
        </w:rPr>
        <w:t>RspnsblPtyId</w:t>
      </w:r>
      <w:r w:rsidRPr="009E0AB7"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0FB25E1F" w14:textId="77777777" w:rsidR="005D5568" w:rsidRPr="009E0AB7" w:rsidRDefault="005D5568" w:rsidP="005D5568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 w:rsidRPr="009E0AB7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9E0AB7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9E0AB7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9E0AB7"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r w:rsidRPr="009E0AB7">
        <w:rPr>
          <w:rFonts w:ascii="Consolas" w:hAnsi="Consolas" w:cs="Consolas"/>
          <w:color w:val="800000"/>
          <w:sz w:val="20"/>
          <w:highlight w:val="white"/>
          <w:lang w:eastAsia="en-GB"/>
        </w:rPr>
        <w:t>AcctOwnr</w:t>
      </w:r>
      <w:r w:rsidRPr="009E0AB7"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48D17D3D" w14:textId="77777777" w:rsidR="005D5568" w:rsidRPr="009E0AB7" w:rsidRDefault="005D5568" w:rsidP="005D5568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 w:rsidRPr="009E0AB7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9E0AB7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9E0AB7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9E0AB7"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r w:rsidRPr="009E0AB7">
        <w:rPr>
          <w:rFonts w:ascii="Consolas" w:hAnsi="Consolas" w:cs="Consolas"/>
          <w:color w:val="800000"/>
          <w:sz w:val="20"/>
          <w:highlight w:val="white"/>
          <w:lang w:eastAsia="en-GB"/>
        </w:rPr>
        <w:t>Id</w:t>
      </w:r>
      <w:r w:rsidRPr="009E0AB7"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  <w:r w:rsidRPr="009E0AB7">
        <w:rPr>
          <w:rFonts w:ascii="Consolas" w:hAnsi="Consolas" w:cs="Consolas"/>
          <w:color w:val="000000"/>
          <w:sz w:val="20"/>
          <w:highlight w:val="white"/>
          <w:lang w:eastAsia="en-GB"/>
        </w:rPr>
        <w:t>SECACCCSDPXXYYAAA</w:t>
      </w:r>
      <w:r w:rsidRPr="009E0AB7"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r w:rsidRPr="009E0AB7">
        <w:rPr>
          <w:rFonts w:ascii="Consolas" w:hAnsi="Consolas" w:cs="Consolas"/>
          <w:color w:val="800000"/>
          <w:sz w:val="20"/>
          <w:highlight w:val="white"/>
          <w:lang w:eastAsia="en-GB"/>
        </w:rPr>
        <w:t>Id</w:t>
      </w:r>
      <w:r w:rsidRPr="009E0AB7"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27BE6CEC" w14:textId="77777777" w:rsidR="005D5568" w:rsidRPr="005D5568" w:rsidRDefault="005D5568" w:rsidP="005D5568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 w:rsidRPr="009E0AB7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9E0AB7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9E0AB7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r w:rsidRPr="005D5568">
        <w:rPr>
          <w:rFonts w:ascii="Consolas" w:hAnsi="Consolas" w:cs="Consolas"/>
          <w:color w:val="800000"/>
          <w:sz w:val="20"/>
          <w:highlight w:val="white"/>
          <w:lang w:eastAsia="en-GB"/>
        </w:rPr>
        <w:t>Tp</w:t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4F655274" w14:textId="0758B447" w:rsidR="005D5568" w:rsidRPr="005D5568" w:rsidRDefault="005D5568" w:rsidP="005D5568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r w:rsidRPr="005D5568">
        <w:rPr>
          <w:rFonts w:ascii="Consolas" w:hAnsi="Consolas" w:cs="Consolas"/>
          <w:color w:val="800000"/>
          <w:sz w:val="20"/>
          <w:highlight w:val="white"/>
          <w:lang w:eastAsia="en-GB"/>
        </w:rPr>
        <w:t>Cd</w:t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>ENDI</w:t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r w:rsidRPr="005D5568">
        <w:rPr>
          <w:rFonts w:ascii="Consolas" w:hAnsi="Consolas" w:cs="Consolas"/>
          <w:color w:val="800000"/>
          <w:sz w:val="20"/>
          <w:highlight w:val="white"/>
          <w:lang w:eastAsia="en-GB"/>
        </w:rPr>
        <w:t>Cd</w:t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7D19193C" w14:textId="77777777" w:rsidR="005D5568" w:rsidRPr="005D5568" w:rsidRDefault="005D5568" w:rsidP="005D5568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r w:rsidRPr="005D5568">
        <w:rPr>
          <w:rFonts w:ascii="Consolas" w:hAnsi="Consolas" w:cs="Consolas"/>
          <w:color w:val="800000"/>
          <w:sz w:val="20"/>
          <w:highlight w:val="white"/>
          <w:lang w:eastAsia="en-GB"/>
        </w:rPr>
        <w:t>Tp</w:t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46E9FE9E" w14:textId="47682971" w:rsidR="005D5568" w:rsidRPr="005D5568" w:rsidRDefault="005D5568" w:rsidP="005D5568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r w:rsidRPr="005D5568">
        <w:rPr>
          <w:rFonts w:ascii="Consolas" w:hAnsi="Consolas" w:cs="Consolas"/>
          <w:color w:val="800000"/>
          <w:sz w:val="20"/>
          <w:highlight w:val="white"/>
          <w:lang w:eastAsia="en-GB"/>
        </w:rPr>
        <w:t>OpngDt</w:t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>20</w:t>
      </w:r>
      <w:r>
        <w:rPr>
          <w:rFonts w:ascii="Consolas" w:hAnsi="Consolas" w:cs="Consolas"/>
          <w:color w:val="000000"/>
          <w:sz w:val="20"/>
          <w:highlight w:val="white"/>
          <w:lang w:eastAsia="en-GB"/>
        </w:rPr>
        <w:t>26</w:t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>-01-01</w:t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r w:rsidRPr="005D5568">
        <w:rPr>
          <w:rFonts w:ascii="Consolas" w:hAnsi="Consolas" w:cs="Consolas"/>
          <w:color w:val="800000"/>
          <w:sz w:val="20"/>
          <w:highlight w:val="white"/>
          <w:lang w:eastAsia="en-GB"/>
        </w:rPr>
        <w:t>OpngDt</w:t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19D9DBED" w14:textId="77777777" w:rsidR="005D5568" w:rsidRPr="005D5568" w:rsidRDefault="005D5568" w:rsidP="005D5568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&lt;</w:t>
      </w:r>
      <w:r w:rsidRPr="005D5568">
        <w:rPr>
          <w:rFonts w:ascii="Consolas" w:hAnsi="Consolas" w:cs="Consolas"/>
          <w:color w:val="800000"/>
          <w:sz w:val="20"/>
          <w:highlight w:val="white"/>
          <w:lang w:eastAsia="en-GB"/>
        </w:rPr>
        <w:t>HldInd</w:t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>true</w:t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r w:rsidRPr="005D5568">
        <w:rPr>
          <w:rFonts w:ascii="Consolas" w:hAnsi="Consolas" w:cs="Consolas"/>
          <w:color w:val="800000"/>
          <w:sz w:val="20"/>
          <w:highlight w:val="white"/>
          <w:lang w:eastAsia="en-GB"/>
        </w:rPr>
        <w:t>HldInd</w:t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55D6D57C" w14:textId="77777777" w:rsidR="005D5568" w:rsidRPr="0004539A" w:rsidRDefault="005D5568" w:rsidP="005D5568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val="de-DE" w:eastAsia="en-GB"/>
        </w:rPr>
      </w:pP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04539A">
        <w:rPr>
          <w:rFonts w:ascii="Consolas" w:hAnsi="Consolas" w:cs="Consolas"/>
          <w:color w:val="0000FF"/>
          <w:sz w:val="20"/>
          <w:highlight w:val="white"/>
          <w:lang w:val="de-DE" w:eastAsia="en-GB"/>
        </w:rPr>
        <w:t>&lt;</w:t>
      </w:r>
      <w:r w:rsidRPr="0004539A">
        <w:rPr>
          <w:rFonts w:ascii="Consolas" w:hAnsi="Consolas" w:cs="Consolas"/>
          <w:color w:val="800000"/>
          <w:sz w:val="20"/>
          <w:highlight w:val="white"/>
          <w:lang w:val="de-DE" w:eastAsia="en-GB"/>
        </w:rPr>
        <w:t>NegPos</w:t>
      </w:r>
      <w:r w:rsidRPr="0004539A">
        <w:rPr>
          <w:rFonts w:ascii="Consolas" w:hAnsi="Consolas" w:cs="Consolas"/>
          <w:color w:val="0000FF"/>
          <w:sz w:val="20"/>
          <w:highlight w:val="white"/>
          <w:lang w:val="de-DE" w:eastAsia="en-GB"/>
        </w:rPr>
        <w:t>&gt;</w:t>
      </w:r>
      <w:r w:rsidRPr="0004539A">
        <w:rPr>
          <w:rFonts w:ascii="Consolas" w:hAnsi="Consolas" w:cs="Consolas"/>
          <w:color w:val="000000"/>
          <w:sz w:val="20"/>
          <w:highlight w:val="white"/>
          <w:lang w:val="de-DE" w:eastAsia="en-GB"/>
        </w:rPr>
        <w:t>false</w:t>
      </w:r>
      <w:r w:rsidRPr="0004539A">
        <w:rPr>
          <w:rFonts w:ascii="Consolas" w:hAnsi="Consolas" w:cs="Consolas"/>
          <w:color w:val="0000FF"/>
          <w:sz w:val="20"/>
          <w:highlight w:val="white"/>
          <w:lang w:val="de-DE" w:eastAsia="en-GB"/>
        </w:rPr>
        <w:t>&lt;/</w:t>
      </w:r>
      <w:r w:rsidRPr="0004539A">
        <w:rPr>
          <w:rFonts w:ascii="Consolas" w:hAnsi="Consolas" w:cs="Consolas"/>
          <w:color w:val="800000"/>
          <w:sz w:val="20"/>
          <w:highlight w:val="white"/>
          <w:lang w:val="de-DE" w:eastAsia="en-GB"/>
        </w:rPr>
        <w:t>NegPos</w:t>
      </w:r>
      <w:r w:rsidRPr="0004539A">
        <w:rPr>
          <w:rFonts w:ascii="Consolas" w:hAnsi="Consolas" w:cs="Consolas"/>
          <w:color w:val="0000FF"/>
          <w:sz w:val="20"/>
          <w:highlight w:val="white"/>
          <w:lang w:val="de-DE" w:eastAsia="en-GB"/>
        </w:rPr>
        <w:t>&gt;</w:t>
      </w:r>
    </w:p>
    <w:p w14:paraId="2DC8CD57" w14:textId="76726E71" w:rsidR="005D5568" w:rsidRPr="0004539A" w:rsidRDefault="005D5568" w:rsidP="005D5568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val="de-DE" w:eastAsia="en-GB"/>
        </w:rPr>
      </w:pPr>
      <w:r w:rsidRPr="0004539A">
        <w:rPr>
          <w:rFonts w:ascii="Consolas" w:hAnsi="Consolas" w:cs="Consolas"/>
          <w:color w:val="000000"/>
          <w:sz w:val="20"/>
          <w:highlight w:val="white"/>
          <w:lang w:val="de-DE" w:eastAsia="en-GB"/>
        </w:rPr>
        <w:tab/>
      </w:r>
      <w:r w:rsidRPr="0004539A">
        <w:rPr>
          <w:rFonts w:ascii="Consolas" w:hAnsi="Consolas" w:cs="Consolas"/>
          <w:color w:val="000000"/>
          <w:sz w:val="20"/>
          <w:highlight w:val="white"/>
          <w:lang w:val="de-DE" w:eastAsia="en-GB"/>
        </w:rPr>
        <w:tab/>
      </w:r>
      <w:r w:rsidRPr="0004539A">
        <w:rPr>
          <w:rFonts w:ascii="Consolas" w:hAnsi="Consolas" w:cs="Consolas"/>
          <w:color w:val="000000"/>
          <w:sz w:val="20"/>
          <w:highlight w:val="white"/>
          <w:lang w:val="de-DE" w:eastAsia="en-GB"/>
        </w:rPr>
        <w:tab/>
      </w:r>
      <w:r w:rsidRPr="0004539A">
        <w:rPr>
          <w:rFonts w:ascii="Consolas" w:hAnsi="Consolas" w:cs="Consolas"/>
          <w:color w:val="0000FF"/>
          <w:sz w:val="20"/>
          <w:highlight w:val="white"/>
          <w:lang w:val="de-DE" w:eastAsia="en-GB"/>
        </w:rPr>
        <w:t>&lt;</w:t>
      </w:r>
      <w:r w:rsidRPr="0004539A">
        <w:rPr>
          <w:rFonts w:ascii="Consolas" w:hAnsi="Consolas" w:cs="Consolas"/>
          <w:color w:val="800000"/>
          <w:sz w:val="20"/>
          <w:highlight w:val="white"/>
          <w:lang w:val="de-DE" w:eastAsia="en-GB"/>
        </w:rPr>
        <w:t>EndInvstrFlg</w:t>
      </w:r>
      <w:r w:rsidRPr="0004539A">
        <w:rPr>
          <w:rFonts w:ascii="Consolas" w:hAnsi="Consolas" w:cs="Consolas"/>
          <w:color w:val="0000FF"/>
          <w:sz w:val="20"/>
          <w:highlight w:val="white"/>
          <w:lang w:val="de-DE" w:eastAsia="en-GB"/>
        </w:rPr>
        <w:t>&gt;</w:t>
      </w:r>
      <w:r w:rsidRPr="0004539A">
        <w:rPr>
          <w:rFonts w:ascii="Consolas" w:hAnsi="Consolas" w:cs="Consolas"/>
          <w:color w:val="000000"/>
          <w:sz w:val="20"/>
          <w:highlight w:val="white"/>
          <w:lang w:val="de-DE" w:eastAsia="en-GB"/>
        </w:rPr>
        <w:t>TRUE</w:t>
      </w:r>
      <w:r w:rsidRPr="0004539A">
        <w:rPr>
          <w:rFonts w:ascii="Consolas" w:hAnsi="Consolas" w:cs="Consolas"/>
          <w:color w:val="0000FF"/>
          <w:sz w:val="20"/>
          <w:highlight w:val="white"/>
          <w:lang w:val="de-DE" w:eastAsia="en-GB"/>
        </w:rPr>
        <w:t>&lt;/</w:t>
      </w:r>
      <w:r w:rsidRPr="0004539A">
        <w:rPr>
          <w:rFonts w:ascii="Consolas" w:hAnsi="Consolas" w:cs="Consolas"/>
          <w:color w:val="800000"/>
          <w:sz w:val="20"/>
          <w:highlight w:val="white"/>
          <w:lang w:val="de-DE" w:eastAsia="en-GB"/>
        </w:rPr>
        <w:t>EndInvstrFlg</w:t>
      </w:r>
      <w:r w:rsidRPr="0004539A">
        <w:rPr>
          <w:rFonts w:ascii="Consolas" w:hAnsi="Consolas" w:cs="Consolas"/>
          <w:color w:val="0000FF"/>
          <w:sz w:val="20"/>
          <w:highlight w:val="white"/>
          <w:lang w:val="de-DE" w:eastAsia="en-GB"/>
        </w:rPr>
        <w:t>&gt;</w:t>
      </w:r>
    </w:p>
    <w:p w14:paraId="0B7A4D8A" w14:textId="77777777" w:rsidR="005D5568" w:rsidRPr="0004539A" w:rsidRDefault="005D5568" w:rsidP="005D5568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val="de-DE" w:eastAsia="en-GB"/>
        </w:rPr>
      </w:pPr>
      <w:r w:rsidRPr="0004539A">
        <w:rPr>
          <w:rFonts w:ascii="Consolas" w:hAnsi="Consolas" w:cs="Consolas"/>
          <w:color w:val="000000"/>
          <w:sz w:val="20"/>
          <w:highlight w:val="white"/>
          <w:lang w:val="de-DE" w:eastAsia="en-GB"/>
        </w:rPr>
        <w:tab/>
      </w:r>
      <w:r w:rsidRPr="0004539A">
        <w:rPr>
          <w:rFonts w:ascii="Consolas" w:hAnsi="Consolas" w:cs="Consolas"/>
          <w:color w:val="000000"/>
          <w:sz w:val="20"/>
          <w:highlight w:val="white"/>
          <w:lang w:val="de-DE" w:eastAsia="en-GB"/>
        </w:rPr>
        <w:tab/>
      </w:r>
      <w:r w:rsidRPr="0004539A">
        <w:rPr>
          <w:rFonts w:ascii="Consolas" w:hAnsi="Consolas" w:cs="Consolas"/>
          <w:color w:val="000000"/>
          <w:sz w:val="20"/>
          <w:highlight w:val="white"/>
          <w:lang w:val="de-DE" w:eastAsia="en-GB"/>
        </w:rPr>
        <w:tab/>
      </w:r>
      <w:r w:rsidRPr="0004539A">
        <w:rPr>
          <w:rFonts w:ascii="Consolas" w:hAnsi="Consolas" w:cs="Consolas"/>
          <w:color w:val="0000FF"/>
          <w:sz w:val="20"/>
          <w:highlight w:val="white"/>
          <w:lang w:val="de-DE" w:eastAsia="en-GB"/>
        </w:rPr>
        <w:t>&lt;</w:t>
      </w:r>
      <w:r w:rsidRPr="0004539A">
        <w:rPr>
          <w:rFonts w:ascii="Consolas" w:hAnsi="Consolas" w:cs="Consolas"/>
          <w:color w:val="800000"/>
          <w:sz w:val="20"/>
          <w:highlight w:val="white"/>
          <w:lang w:val="de-DE" w:eastAsia="en-GB"/>
        </w:rPr>
        <w:t>PricgSchme</w:t>
      </w:r>
      <w:r w:rsidRPr="0004539A">
        <w:rPr>
          <w:rFonts w:ascii="Consolas" w:hAnsi="Consolas" w:cs="Consolas"/>
          <w:color w:val="0000FF"/>
          <w:sz w:val="20"/>
          <w:highlight w:val="white"/>
          <w:lang w:val="de-DE" w:eastAsia="en-GB"/>
        </w:rPr>
        <w:t>&gt;</w:t>
      </w:r>
      <w:r w:rsidRPr="0004539A">
        <w:rPr>
          <w:rFonts w:ascii="Consolas" w:hAnsi="Consolas" w:cs="Consolas"/>
          <w:color w:val="000000"/>
          <w:sz w:val="20"/>
          <w:highlight w:val="white"/>
          <w:lang w:val="de-DE" w:eastAsia="en-GB"/>
        </w:rPr>
        <w:t>SACC</w:t>
      </w:r>
      <w:r w:rsidRPr="0004539A">
        <w:rPr>
          <w:rFonts w:ascii="Consolas" w:hAnsi="Consolas" w:cs="Consolas"/>
          <w:color w:val="0000FF"/>
          <w:sz w:val="20"/>
          <w:highlight w:val="white"/>
          <w:lang w:val="de-DE" w:eastAsia="en-GB"/>
        </w:rPr>
        <w:t>&lt;/</w:t>
      </w:r>
      <w:r w:rsidRPr="0004539A">
        <w:rPr>
          <w:rFonts w:ascii="Consolas" w:hAnsi="Consolas" w:cs="Consolas"/>
          <w:color w:val="800000"/>
          <w:sz w:val="20"/>
          <w:highlight w:val="white"/>
          <w:lang w:val="de-DE" w:eastAsia="en-GB"/>
        </w:rPr>
        <w:t>PricgSchme</w:t>
      </w:r>
      <w:r w:rsidRPr="0004539A">
        <w:rPr>
          <w:rFonts w:ascii="Consolas" w:hAnsi="Consolas" w:cs="Consolas"/>
          <w:color w:val="0000FF"/>
          <w:sz w:val="20"/>
          <w:highlight w:val="white"/>
          <w:lang w:val="de-DE" w:eastAsia="en-GB"/>
        </w:rPr>
        <w:t>&gt;</w:t>
      </w:r>
    </w:p>
    <w:p w14:paraId="6DFD4CD2" w14:textId="77777777" w:rsidR="005D5568" w:rsidRPr="005D5568" w:rsidRDefault="005D5568" w:rsidP="005D5568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 w:rsidRPr="0004539A">
        <w:rPr>
          <w:rFonts w:ascii="Consolas" w:hAnsi="Consolas" w:cs="Consolas"/>
          <w:color w:val="000000"/>
          <w:sz w:val="20"/>
          <w:highlight w:val="white"/>
          <w:lang w:val="de-DE" w:eastAsia="en-GB"/>
        </w:rPr>
        <w:tab/>
      </w:r>
      <w:r w:rsidRPr="0004539A">
        <w:rPr>
          <w:rFonts w:ascii="Consolas" w:hAnsi="Consolas" w:cs="Consolas"/>
          <w:color w:val="000000"/>
          <w:sz w:val="20"/>
          <w:highlight w:val="white"/>
          <w:lang w:val="de-DE" w:eastAsia="en-GB"/>
        </w:rPr>
        <w:tab/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r w:rsidRPr="005D5568">
        <w:rPr>
          <w:rFonts w:ascii="Consolas" w:hAnsi="Consolas" w:cs="Consolas"/>
          <w:color w:val="800000"/>
          <w:sz w:val="20"/>
          <w:highlight w:val="white"/>
          <w:lang w:eastAsia="en-GB"/>
        </w:rPr>
        <w:t>SctiesAcct</w:t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2978FC24" w14:textId="77777777" w:rsidR="005D5568" w:rsidRPr="005D5568" w:rsidRDefault="005D5568" w:rsidP="005D5568">
      <w:pPr>
        <w:autoSpaceDE w:val="0"/>
        <w:autoSpaceDN w:val="0"/>
        <w:adjustRightInd w:val="0"/>
        <w:spacing w:before="0"/>
        <w:rPr>
          <w:rFonts w:ascii="Consolas" w:hAnsi="Consolas" w:cs="Consolas"/>
          <w:color w:val="000000"/>
          <w:sz w:val="20"/>
          <w:highlight w:val="white"/>
          <w:lang w:eastAsia="en-GB"/>
        </w:rPr>
      </w:pPr>
      <w:r w:rsidRPr="005D5568">
        <w:rPr>
          <w:rFonts w:ascii="Consolas" w:hAnsi="Consolas" w:cs="Consolas"/>
          <w:color w:val="000000"/>
          <w:sz w:val="20"/>
          <w:highlight w:val="white"/>
          <w:lang w:eastAsia="en-GB"/>
        </w:rPr>
        <w:tab/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&lt;/</w:t>
      </w:r>
      <w:r w:rsidRPr="005D5568">
        <w:rPr>
          <w:rFonts w:ascii="Consolas" w:hAnsi="Consolas" w:cs="Consolas"/>
          <w:color w:val="800000"/>
          <w:sz w:val="20"/>
          <w:highlight w:val="white"/>
          <w:lang w:eastAsia="en-GB"/>
        </w:rPr>
        <w:t>SctiesAcctCreReq</w:t>
      </w:r>
      <w:r w:rsidRPr="005D5568">
        <w:rPr>
          <w:rFonts w:ascii="Consolas" w:hAnsi="Consolas" w:cs="Consolas"/>
          <w:color w:val="0000FF"/>
          <w:sz w:val="20"/>
          <w:highlight w:val="white"/>
          <w:lang w:eastAsia="en-GB"/>
        </w:rPr>
        <w:t>&gt;</w:t>
      </w:r>
    </w:p>
    <w:p w14:paraId="4AC47E69" w14:textId="216DC1A1" w:rsidR="00622329" w:rsidRDefault="005D5568" w:rsidP="005D5568">
      <w:pPr>
        <w:rPr>
          <w:lang w:val="en-GB"/>
        </w:rPr>
      </w:pPr>
      <w:r>
        <w:rPr>
          <w:rFonts w:ascii="Consolas" w:hAnsi="Consolas" w:cs="Consolas"/>
          <w:color w:val="0000FF"/>
          <w:sz w:val="20"/>
          <w:highlight w:val="white"/>
          <w:lang w:val="it-IT" w:eastAsia="en-GB"/>
        </w:rPr>
        <w:t>&lt;/</w:t>
      </w:r>
      <w:r>
        <w:rPr>
          <w:rFonts w:ascii="Consolas" w:hAnsi="Consolas" w:cs="Consolas"/>
          <w:color w:val="800000"/>
          <w:sz w:val="20"/>
          <w:highlight w:val="white"/>
          <w:lang w:val="it-IT" w:eastAsia="en-GB"/>
        </w:rPr>
        <w:t>Document</w:t>
      </w:r>
      <w:r>
        <w:rPr>
          <w:rFonts w:ascii="Consolas" w:hAnsi="Consolas" w:cs="Consolas"/>
          <w:color w:val="0000FF"/>
          <w:sz w:val="20"/>
          <w:highlight w:val="white"/>
          <w:lang w:val="it-IT" w:eastAsia="en-GB"/>
        </w:rPr>
        <w:t>&gt;</w:t>
      </w:r>
      <w:r w:rsidR="00622329">
        <w:rPr>
          <w:lang w:val="en-GB"/>
        </w:rPr>
        <w:br w:type="page"/>
      </w:r>
    </w:p>
    <w:p w14:paraId="6F325F47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7A7E1E86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53660512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4485C998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0BDD7043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49288352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3242B77B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3FD7FDFC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B9392E0" w14:textId="77777777" w:rsidR="00916A80" w:rsidRPr="00CD0854" w:rsidRDefault="00916A80" w:rsidP="003A053F">
            <w:bookmarkStart w:id="1" w:name="_Hlk222812886"/>
          </w:p>
        </w:tc>
        <w:tc>
          <w:tcPr>
            <w:tcW w:w="3544" w:type="dxa"/>
            <w:gridSpan w:val="2"/>
          </w:tcPr>
          <w:p w14:paraId="4776803A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8221DA5" w14:textId="77777777" w:rsidR="00916A80" w:rsidRPr="00CD0854" w:rsidRDefault="00916A80" w:rsidP="003A053F"/>
        </w:tc>
      </w:tr>
      <w:tr w:rsidR="003A053F" w:rsidRPr="00CD0854" w14:paraId="4C1E8152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5C378B7B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59EECCD7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935482C" w14:textId="77777777" w:rsidR="003A053F" w:rsidRPr="00CD0854" w:rsidRDefault="003A053F" w:rsidP="003A053F"/>
        </w:tc>
      </w:tr>
      <w:bookmarkEnd w:id="1"/>
    </w:tbl>
    <w:p w14:paraId="49540F9D" w14:textId="77777777" w:rsidR="003A053F" w:rsidRDefault="003A053F" w:rsidP="003A053F"/>
    <w:p w14:paraId="38E7D84C" w14:textId="77777777" w:rsidR="00C41DDB" w:rsidRPr="00CD0854" w:rsidRDefault="00C41DDB" w:rsidP="003A053F">
      <w:r w:rsidRPr="00CD0854">
        <w:t>Comments:</w:t>
      </w:r>
    </w:p>
    <w:p w14:paraId="3161A26B" w14:textId="77777777" w:rsidR="00C41DDB" w:rsidRDefault="00C41DDB" w:rsidP="003A053F"/>
    <w:p w14:paraId="09A0AF4D" w14:textId="77777777" w:rsidR="003A053F" w:rsidRPr="00CD0854" w:rsidRDefault="003A053F" w:rsidP="003A053F"/>
    <w:p w14:paraId="7471DAEF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07CAC1FB" w14:textId="77777777" w:rsidTr="00F8432C">
        <w:tc>
          <w:tcPr>
            <w:tcW w:w="1242" w:type="dxa"/>
          </w:tcPr>
          <w:p w14:paraId="4EE90B58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5D650702" w14:textId="77777777" w:rsidR="00C41DDB" w:rsidRPr="00CD0854" w:rsidRDefault="00C41DDB" w:rsidP="003A053F"/>
        </w:tc>
      </w:tr>
    </w:tbl>
    <w:p w14:paraId="08805D07" w14:textId="77777777" w:rsidR="003A053F" w:rsidRDefault="003A053F" w:rsidP="003A053F"/>
    <w:p w14:paraId="3F7D9AC7" w14:textId="77777777" w:rsidR="002E221D" w:rsidRPr="00CD0854" w:rsidRDefault="00C41DDB" w:rsidP="003A053F">
      <w:r w:rsidRPr="00CD0854">
        <w:t>Reason for rejection:</w:t>
      </w:r>
    </w:p>
    <w:p w14:paraId="50A797D6" w14:textId="77777777" w:rsidR="002E221D" w:rsidRDefault="002E221D" w:rsidP="003A053F"/>
    <w:p w14:paraId="4878DAE3" w14:textId="77777777" w:rsidR="003A053F" w:rsidRDefault="003A053F" w:rsidP="003A053F"/>
    <w:p w14:paraId="5F7210C0" w14:textId="77777777" w:rsidR="00D843BF" w:rsidRDefault="00D843BF" w:rsidP="003A053F"/>
    <w:p w14:paraId="35F9913C" w14:textId="77777777" w:rsidR="00D843BF" w:rsidRPr="00CD0854" w:rsidRDefault="00D843BF" w:rsidP="003A053F">
      <w:pPr>
        <w:sectPr w:rsidR="00D843BF" w:rsidRPr="00CD0854" w:rsidSect="000A172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42456B76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7C385E56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6BD05DC5" w14:textId="77777777" w:rsidTr="00C26092">
        <w:trPr>
          <w:trHeight w:val="300"/>
        </w:trPr>
        <w:tc>
          <w:tcPr>
            <w:tcW w:w="1068" w:type="dxa"/>
          </w:tcPr>
          <w:p w14:paraId="19880C98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noWrap/>
            <w:hideMark/>
          </w:tcPr>
          <w:p w14:paraId="1357E6BB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noWrap/>
            <w:hideMark/>
          </w:tcPr>
          <w:p w14:paraId="2E3B60A9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noWrap/>
            <w:hideMark/>
          </w:tcPr>
          <w:p w14:paraId="36F80D3C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noWrap/>
            <w:hideMark/>
          </w:tcPr>
          <w:p w14:paraId="65208877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noWrap/>
            <w:hideMark/>
          </w:tcPr>
          <w:p w14:paraId="2C203CFC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64F6EF5A" w14:textId="77777777" w:rsidTr="00C26092">
        <w:trPr>
          <w:trHeight w:val="300"/>
        </w:trPr>
        <w:tc>
          <w:tcPr>
            <w:tcW w:w="1068" w:type="dxa"/>
          </w:tcPr>
          <w:p w14:paraId="33AA40AF" w14:textId="505479EC" w:rsidR="00C26092" w:rsidRPr="003A053F" w:rsidRDefault="006A313E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Creation</w:t>
            </w:r>
            <w:r w:rsidR="00C26092">
              <w:rPr>
                <w:highlight w:val="lightGray"/>
              </w:rPr>
              <w:br/>
            </w:r>
            <w:r w:rsidR="00C26092">
              <w:rPr>
                <w:highlight w:val="lightGray"/>
              </w:rPr>
              <w:br/>
            </w:r>
          </w:p>
        </w:tc>
        <w:tc>
          <w:tcPr>
            <w:tcW w:w="917" w:type="dxa"/>
            <w:noWrap/>
            <w:hideMark/>
          </w:tcPr>
          <w:p w14:paraId="258045A1" w14:textId="5DFC455C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1701" w:type="dxa"/>
            <w:noWrap/>
            <w:hideMark/>
          </w:tcPr>
          <w:p w14:paraId="44FBF2FA" w14:textId="77777777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4962" w:type="dxa"/>
            <w:shd w:val="clear" w:color="auto" w:fill="E7E6E6"/>
            <w:noWrap/>
            <w:hideMark/>
          </w:tcPr>
          <w:p w14:paraId="10A53139" w14:textId="77777777"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14:paraId="2C5E075D" w14:textId="77777777"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5651" w:type="dxa"/>
            <w:noWrap/>
            <w:hideMark/>
          </w:tcPr>
          <w:p w14:paraId="2E4D4258" w14:textId="77777777"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C26092" w:rsidRPr="00AF0DB5" w14:paraId="5F28F661" w14:textId="77777777" w:rsidTr="00C26092">
        <w:trPr>
          <w:trHeight w:val="300"/>
        </w:trPr>
        <w:tc>
          <w:tcPr>
            <w:tcW w:w="1068" w:type="dxa"/>
          </w:tcPr>
          <w:p w14:paraId="7049312D" w14:textId="31AE63FA" w:rsidR="00C26092" w:rsidRPr="00981063" w:rsidRDefault="006A313E" w:rsidP="003A053F">
            <w:r>
              <w:t>Creation</w:t>
            </w:r>
          </w:p>
        </w:tc>
        <w:tc>
          <w:tcPr>
            <w:tcW w:w="917" w:type="dxa"/>
            <w:noWrap/>
          </w:tcPr>
          <w:p w14:paraId="42F07140" w14:textId="0B0C226A" w:rsidR="00C26092" w:rsidRPr="00981063" w:rsidRDefault="009E0AB7" w:rsidP="003A053F">
            <w:r>
              <w:t>CSDM</w:t>
            </w:r>
          </w:p>
        </w:tc>
        <w:tc>
          <w:tcPr>
            <w:tcW w:w="1701" w:type="dxa"/>
            <w:noWrap/>
          </w:tcPr>
          <w:p w14:paraId="1D357F4A" w14:textId="1FB131A0" w:rsidR="00C26092" w:rsidRPr="00981063" w:rsidRDefault="009E0AB7" w:rsidP="003A053F">
            <w:r>
              <w:t>CSD Mirror Account</w:t>
            </w:r>
          </w:p>
        </w:tc>
        <w:tc>
          <w:tcPr>
            <w:tcW w:w="4962" w:type="dxa"/>
            <w:noWrap/>
          </w:tcPr>
          <w:p w14:paraId="286107F6" w14:textId="50EE7D62" w:rsidR="00C26092" w:rsidRPr="00981063" w:rsidRDefault="009E0AB7" w:rsidP="009E0AB7">
            <w:r>
              <w:t>A CSD (Central Securities Depository) mirror account is a securities account that an investor CSD sets up to reflect an omnibus account held by its technical issuer CSD.</w:t>
            </w:r>
          </w:p>
        </w:tc>
        <w:tc>
          <w:tcPr>
            <w:tcW w:w="1294" w:type="dxa"/>
            <w:noWrap/>
          </w:tcPr>
          <w:p w14:paraId="2D7B262F" w14:textId="77777777" w:rsidR="00C26092" w:rsidRPr="00981063" w:rsidRDefault="00C26092" w:rsidP="003A053F"/>
        </w:tc>
        <w:tc>
          <w:tcPr>
            <w:tcW w:w="5651" w:type="dxa"/>
            <w:noWrap/>
          </w:tcPr>
          <w:p w14:paraId="6874AD4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6A313E" w:rsidRPr="00AF0DB5" w14:paraId="7C8766BF" w14:textId="77777777" w:rsidTr="00C26092">
        <w:trPr>
          <w:trHeight w:val="300"/>
        </w:trPr>
        <w:tc>
          <w:tcPr>
            <w:tcW w:w="1068" w:type="dxa"/>
          </w:tcPr>
          <w:p w14:paraId="4180C2CD" w14:textId="53427183" w:rsidR="006A313E" w:rsidRPr="00981063" w:rsidRDefault="006A313E" w:rsidP="006A313E">
            <w:r>
              <w:t>Creation</w:t>
            </w:r>
          </w:p>
        </w:tc>
        <w:tc>
          <w:tcPr>
            <w:tcW w:w="917" w:type="dxa"/>
            <w:noWrap/>
          </w:tcPr>
          <w:p w14:paraId="03BE0AF8" w14:textId="163E845D" w:rsidR="006A313E" w:rsidRPr="00981063" w:rsidRDefault="006A313E" w:rsidP="006A313E">
            <w:r>
              <w:t>CSDO</w:t>
            </w:r>
          </w:p>
        </w:tc>
        <w:tc>
          <w:tcPr>
            <w:tcW w:w="1701" w:type="dxa"/>
            <w:noWrap/>
          </w:tcPr>
          <w:p w14:paraId="2CB76D10" w14:textId="40D3BBE3" w:rsidR="006A313E" w:rsidRPr="00981063" w:rsidRDefault="006A313E" w:rsidP="006A313E">
            <w:r>
              <w:t>CSD Omnibus Account</w:t>
            </w:r>
          </w:p>
        </w:tc>
        <w:tc>
          <w:tcPr>
            <w:tcW w:w="4962" w:type="dxa"/>
            <w:noWrap/>
          </w:tcPr>
          <w:p w14:paraId="13DFD5A8" w14:textId="6B4C5363" w:rsidR="006A313E" w:rsidRPr="00981063" w:rsidRDefault="006A313E" w:rsidP="006A313E">
            <w:r w:rsidRPr="009E0AB7">
              <w:t>A CSD (Central Securities Depository) omnibus account is a single, pooled account that holds the securities of multiple individual clients under the name of a single intermediary</w:t>
            </w:r>
          </w:p>
        </w:tc>
        <w:tc>
          <w:tcPr>
            <w:tcW w:w="1294" w:type="dxa"/>
            <w:noWrap/>
          </w:tcPr>
          <w:p w14:paraId="0D145584" w14:textId="77777777" w:rsidR="006A313E" w:rsidRPr="00981063" w:rsidRDefault="006A313E" w:rsidP="006A313E"/>
        </w:tc>
        <w:tc>
          <w:tcPr>
            <w:tcW w:w="5651" w:type="dxa"/>
            <w:noWrap/>
          </w:tcPr>
          <w:p w14:paraId="6021675E" w14:textId="77777777" w:rsidR="006A313E" w:rsidRPr="00D740A6" w:rsidRDefault="006A313E" w:rsidP="006A313E">
            <w:pPr>
              <w:rPr>
                <w:shd w:val="clear" w:color="auto" w:fill="E7E6E6"/>
              </w:rPr>
            </w:pPr>
          </w:p>
        </w:tc>
      </w:tr>
      <w:tr w:rsidR="006A313E" w:rsidRPr="00AF0DB5" w14:paraId="348F2EA4" w14:textId="77777777" w:rsidTr="00C26092">
        <w:trPr>
          <w:trHeight w:val="300"/>
        </w:trPr>
        <w:tc>
          <w:tcPr>
            <w:tcW w:w="1068" w:type="dxa"/>
          </w:tcPr>
          <w:p w14:paraId="717DB946" w14:textId="69B1258E" w:rsidR="006A313E" w:rsidRPr="00981063" w:rsidRDefault="006A313E" w:rsidP="006A313E">
            <w:r>
              <w:t>Creation</w:t>
            </w:r>
          </w:p>
        </w:tc>
        <w:tc>
          <w:tcPr>
            <w:tcW w:w="917" w:type="dxa"/>
            <w:noWrap/>
          </w:tcPr>
          <w:p w14:paraId="7F39B76D" w14:textId="66DAC079" w:rsidR="006A313E" w:rsidRPr="00981063" w:rsidRDefault="006A313E" w:rsidP="006A313E">
            <w:r>
              <w:t>CSDP</w:t>
            </w:r>
          </w:p>
        </w:tc>
        <w:tc>
          <w:tcPr>
            <w:tcW w:w="1701" w:type="dxa"/>
            <w:noWrap/>
          </w:tcPr>
          <w:p w14:paraId="643EBA52" w14:textId="62E468C0" w:rsidR="006A313E" w:rsidRPr="00981063" w:rsidRDefault="006A313E" w:rsidP="006A313E">
            <w:r>
              <w:t>CSD Participant Account</w:t>
            </w:r>
          </w:p>
        </w:tc>
        <w:tc>
          <w:tcPr>
            <w:tcW w:w="4962" w:type="dxa"/>
            <w:noWrap/>
          </w:tcPr>
          <w:p w14:paraId="557EC104" w14:textId="2DF1D606" w:rsidR="006A313E" w:rsidRPr="00981063" w:rsidRDefault="006A313E" w:rsidP="006A313E">
            <w:r w:rsidRPr="009E0AB7">
              <w:t>A CSD (Central Securities Depository) participant account is an account held by a financial institution, known as a participant, with a CSD.</w:t>
            </w:r>
          </w:p>
        </w:tc>
        <w:tc>
          <w:tcPr>
            <w:tcW w:w="1294" w:type="dxa"/>
            <w:noWrap/>
          </w:tcPr>
          <w:p w14:paraId="7ABF9F80" w14:textId="77777777" w:rsidR="006A313E" w:rsidRPr="00981063" w:rsidRDefault="006A313E" w:rsidP="006A313E"/>
        </w:tc>
        <w:tc>
          <w:tcPr>
            <w:tcW w:w="5651" w:type="dxa"/>
            <w:noWrap/>
          </w:tcPr>
          <w:p w14:paraId="2456E4AB" w14:textId="77777777" w:rsidR="006A313E" w:rsidRPr="00D740A6" w:rsidRDefault="006A313E" w:rsidP="006A313E">
            <w:pPr>
              <w:rPr>
                <w:shd w:val="clear" w:color="auto" w:fill="E7E6E6"/>
              </w:rPr>
            </w:pPr>
          </w:p>
        </w:tc>
      </w:tr>
      <w:tr w:rsidR="006A313E" w:rsidRPr="00AF0DB5" w14:paraId="3AC8FA19" w14:textId="77777777" w:rsidTr="00C26092">
        <w:trPr>
          <w:trHeight w:val="300"/>
        </w:trPr>
        <w:tc>
          <w:tcPr>
            <w:tcW w:w="1068" w:type="dxa"/>
          </w:tcPr>
          <w:p w14:paraId="73FD1E18" w14:textId="2DEC99C0" w:rsidR="006A313E" w:rsidRPr="00981063" w:rsidRDefault="006A313E" w:rsidP="006A313E">
            <w:r>
              <w:t>Creation</w:t>
            </w:r>
          </w:p>
        </w:tc>
        <w:tc>
          <w:tcPr>
            <w:tcW w:w="917" w:type="dxa"/>
            <w:noWrap/>
          </w:tcPr>
          <w:p w14:paraId="50787AB9" w14:textId="3E997D10" w:rsidR="006A313E" w:rsidRPr="00981063" w:rsidRDefault="006A313E" w:rsidP="006A313E">
            <w:r>
              <w:t>ICSA</w:t>
            </w:r>
          </w:p>
        </w:tc>
        <w:tc>
          <w:tcPr>
            <w:tcW w:w="1701" w:type="dxa"/>
            <w:noWrap/>
          </w:tcPr>
          <w:p w14:paraId="3908FCB9" w14:textId="62506B22" w:rsidR="006A313E" w:rsidRPr="00981063" w:rsidRDefault="006A313E" w:rsidP="006A313E">
            <w:r>
              <w:t>Inter CSD Account</w:t>
            </w:r>
          </w:p>
        </w:tc>
        <w:tc>
          <w:tcPr>
            <w:tcW w:w="4962" w:type="dxa"/>
            <w:noWrap/>
          </w:tcPr>
          <w:p w14:paraId="46D9DF50" w14:textId="77777777" w:rsidR="006A313E" w:rsidRDefault="006A313E" w:rsidP="006A313E">
            <w:r>
              <w:t xml:space="preserve">An Inter CSD account is a securities account held by one Central Securities Depository (CSD) at another CSD. </w:t>
            </w:r>
          </w:p>
          <w:p w14:paraId="28D4262A" w14:textId="5FDCE02E" w:rsidR="006A313E" w:rsidRPr="00981063" w:rsidRDefault="006A313E" w:rsidP="006A313E">
            <w:r>
              <w:t>It is a technical account used to track the positions of securities that move between CSDs.</w:t>
            </w:r>
          </w:p>
        </w:tc>
        <w:tc>
          <w:tcPr>
            <w:tcW w:w="1294" w:type="dxa"/>
            <w:noWrap/>
          </w:tcPr>
          <w:p w14:paraId="6DC8F4BE" w14:textId="77777777" w:rsidR="006A313E" w:rsidRPr="00981063" w:rsidRDefault="006A313E" w:rsidP="006A313E"/>
        </w:tc>
        <w:tc>
          <w:tcPr>
            <w:tcW w:w="5651" w:type="dxa"/>
            <w:noWrap/>
          </w:tcPr>
          <w:p w14:paraId="516214E8" w14:textId="77777777" w:rsidR="006A313E" w:rsidRPr="00D740A6" w:rsidRDefault="006A313E" w:rsidP="006A313E">
            <w:pPr>
              <w:rPr>
                <w:shd w:val="clear" w:color="auto" w:fill="E7E6E6"/>
              </w:rPr>
            </w:pPr>
          </w:p>
        </w:tc>
      </w:tr>
      <w:tr w:rsidR="006A313E" w:rsidRPr="00AF0DB5" w14:paraId="04503216" w14:textId="77777777" w:rsidTr="00C26092">
        <w:trPr>
          <w:trHeight w:val="300"/>
        </w:trPr>
        <w:tc>
          <w:tcPr>
            <w:tcW w:w="1068" w:type="dxa"/>
          </w:tcPr>
          <w:p w14:paraId="4B2F678D" w14:textId="31F62276" w:rsidR="006A313E" w:rsidRPr="00981063" w:rsidRDefault="006A313E" w:rsidP="006A313E">
            <w:r>
              <w:t>Creation</w:t>
            </w:r>
          </w:p>
        </w:tc>
        <w:tc>
          <w:tcPr>
            <w:tcW w:w="917" w:type="dxa"/>
            <w:noWrap/>
          </w:tcPr>
          <w:p w14:paraId="74A45739" w14:textId="50E1EC16" w:rsidR="006A313E" w:rsidRPr="00981063" w:rsidRDefault="006A313E" w:rsidP="006A313E">
            <w:r>
              <w:t>ISSA</w:t>
            </w:r>
          </w:p>
        </w:tc>
        <w:tc>
          <w:tcPr>
            <w:tcW w:w="1701" w:type="dxa"/>
            <w:noWrap/>
          </w:tcPr>
          <w:p w14:paraId="5FB31F17" w14:textId="192701E4" w:rsidR="006A313E" w:rsidRPr="00981063" w:rsidRDefault="006A313E" w:rsidP="006A313E">
            <w:r>
              <w:t>Issuance Account</w:t>
            </w:r>
          </w:p>
        </w:tc>
        <w:tc>
          <w:tcPr>
            <w:tcW w:w="4962" w:type="dxa"/>
            <w:noWrap/>
          </w:tcPr>
          <w:p w14:paraId="75BC9915" w14:textId="722F1EFB" w:rsidR="006A313E" w:rsidRPr="00981063" w:rsidRDefault="006A313E" w:rsidP="006A313E">
            <w:r>
              <w:t>An issuance account is a special type of securities account that an issuer uses to hold securities they have issued..</w:t>
            </w:r>
          </w:p>
        </w:tc>
        <w:tc>
          <w:tcPr>
            <w:tcW w:w="1294" w:type="dxa"/>
            <w:noWrap/>
          </w:tcPr>
          <w:p w14:paraId="5F49B1C3" w14:textId="77777777" w:rsidR="006A313E" w:rsidRPr="00981063" w:rsidRDefault="006A313E" w:rsidP="006A313E"/>
        </w:tc>
        <w:tc>
          <w:tcPr>
            <w:tcW w:w="5651" w:type="dxa"/>
            <w:noWrap/>
          </w:tcPr>
          <w:p w14:paraId="29357EDA" w14:textId="77777777" w:rsidR="006A313E" w:rsidRPr="00D740A6" w:rsidRDefault="006A313E" w:rsidP="006A313E">
            <w:pPr>
              <w:rPr>
                <w:shd w:val="clear" w:color="auto" w:fill="E7E6E6"/>
              </w:rPr>
            </w:pPr>
          </w:p>
        </w:tc>
      </w:tr>
      <w:tr w:rsidR="006A313E" w:rsidRPr="00AF0DB5" w14:paraId="4DCA2CC0" w14:textId="77777777" w:rsidTr="00C26092">
        <w:trPr>
          <w:trHeight w:val="300"/>
        </w:trPr>
        <w:tc>
          <w:tcPr>
            <w:tcW w:w="1068" w:type="dxa"/>
          </w:tcPr>
          <w:p w14:paraId="139E3503" w14:textId="6B612FC4" w:rsidR="006A313E" w:rsidRPr="00981063" w:rsidRDefault="006A313E" w:rsidP="006A313E">
            <w:r>
              <w:lastRenderedPageBreak/>
              <w:t>Creation</w:t>
            </w:r>
          </w:p>
        </w:tc>
        <w:tc>
          <w:tcPr>
            <w:tcW w:w="917" w:type="dxa"/>
            <w:noWrap/>
          </w:tcPr>
          <w:p w14:paraId="37645E5A" w14:textId="4C6E380B" w:rsidR="006A313E" w:rsidRPr="00981063" w:rsidRDefault="006A313E" w:rsidP="006A313E">
            <w:r>
              <w:t>TOFF</w:t>
            </w:r>
          </w:p>
        </w:tc>
        <w:tc>
          <w:tcPr>
            <w:tcW w:w="1701" w:type="dxa"/>
            <w:noWrap/>
          </w:tcPr>
          <w:p w14:paraId="20846742" w14:textId="6774E80F" w:rsidR="006A313E" w:rsidRPr="00981063" w:rsidRDefault="006A313E" w:rsidP="006A313E">
            <w:r>
              <w:t>Technical Offset Account</w:t>
            </w:r>
          </w:p>
        </w:tc>
        <w:tc>
          <w:tcPr>
            <w:tcW w:w="4962" w:type="dxa"/>
            <w:noWrap/>
          </w:tcPr>
          <w:p w14:paraId="0AA4D0EE" w14:textId="51BED012" w:rsidR="006A313E" w:rsidRDefault="006A313E" w:rsidP="006A313E">
            <w:r>
              <w:t>A technical offset account is used to offset the risk of another investment, often by holding a position that is the opposite of the initial one.</w:t>
            </w:r>
          </w:p>
          <w:p w14:paraId="127A0A2C" w14:textId="6FEFFF51" w:rsidR="006A313E" w:rsidRPr="00981063" w:rsidRDefault="006A313E" w:rsidP="006A313E">
            <w:r>
              <w:t>.</w:t>
            </w:r>
          </w:p>
        </w:tc>
        <w:tc>
          <w:tcPr>
            <w:tcW w:w="1294" w:type="dxa"/>
            <w:noWrap/>
          </w:tcPr>
          <w:p w14:paraId="6EE5007D" w14:textId="77777777" w:rsidR="006A313E" w:rsidRPr="00981063" w:rsidRDefault="006A313E" w:rsidP="006A313E"/>
        </w:tc>
        <w:tc>
          <w:tcPr>
            <w:tcW w:w="5651" w:type="dxa"/>
            <w:noWrap/>
          </w:tcPr>
          <w:p w14:paraId="6250B8B0" w14:textId="77777777" w:rsidR="006A313E" w:rsidRPr="00D740A6" w:rsidRDefault="006A313E" w:rsidP="006A313E">
            <w:pPr>
              <w:rPr>
                <w:shd w:val="clear" w:color="auto" w:fill="E7E6E6"/>
              </w:rPr>
            </w:pPr>
          </w:p>
        </w:tc>
      </w:tr>
      <w:tr w:rsidR="006A313E" w:rsidRPr="00AF0DB5" w14:paraId="678B380C" w14:textId="77777777" w:rsidTr="00C26092">
        <w:trPr>
          <w:trHeight w:val="300"/>
        </w:trPr>
        <w:tc>
          <w:tcPr>
            <w:tcW w:w="1068" w:type="dxa"/>
          </w:tcPr>
          <w:p w14:paraId="6023A268" w14:textId="63EC361F" w:rsidR="006A313E" w:rsidRPr="00981063" w:rsidRDefault="006A313E" w:rsidP="006A313E">
            <w:r>
              <w:t>Creation</w:t>
            </w:r>
          </w:p>
        </w:tc>
        <w:tc>
          <w:tcPr>
            <w:tcW w:w="917" w:type="dxa"/>
            <w:noWrap/>
          </w:tcPr>
          <w:p w14:paraId="521A55C2" w14:textId="01EE1ABB" w:rsidR="006A313E" w:rsidRPr="00981063" w:rsidRDefault="006A313E" w:rsidP="006A313E">
            <w:r>
              <w:t>ENDI</w:t>
            </w:r>
          </w:p>
        </w:tc>
        <w:tc>
          <w:tcPr>
            <w:tcW w:w="1701" w:type="dxa"/>
            <w:noWrap/>
          </w:tcPr>
          <w:p w14:paraId="5758D57B" w14:textId="1C27E363" w:rsidR="006A313E" w:rsidRPr="00981063" w:rsidRDefault="006A313E" w:rsidP="006A313E">
            <w:r>
              <w:t>End Investor Account</w:t>
            </w:r>
          </w:p>
        </w:tc>
        <w:tc>
          <w:tcPr>
            <w:tcW w:w="4962" w:type="dxa"/>
            <w:noWrap/>
          </w:tcPr>
          <w:p w14:paraId="0602C001" w14:textId="54047F32" w:rsidR="006A313E" w:rsidRPr="00981063" w:rsidRDefault="006A313E" w:rsidP="006A313E">
            <w:r>
              <w:t>An end investor account is a securities account held by an individual or organization for its own benefit, not on behalf of a third party.</w:t>
            </w:r>
          </w:p>
        </w:tc>
        <w:tc>
          <w:tcPr>
            <w:tcW w:w="1294" w:type="dxa"/>
            <w:noWrap/>
          </w:tcPr>
          <w:p w14:paraId="328CA48E" w14:textId="77777777" w:rsidR="006A313E" w:rsidRPr="00981063" w:rsidRDefault="006A313E" w:rsidP="006A313E"/>
        </w:tc>
        <w:tc>
          <w:tcPr>
            <w:tcW w:w="5651" w:type="dxa"/>
            <w:noWrap/>
          </w:tcPr>
          <w:p w14:paraId="5891AC48" w14:textId="77777777" w:rsidR="006A313E" w:rsidRPr="00D740A6" w:rsidRDefault="006A313E" w:rsidP="006A313E">
            <w:pPr>
              <w:rPr>
                <w:shd w:val="clear" w:color="auto" w:fill="E7E6E6"/>
              </w:rPr>
            </w:pPr>
          </w:p>
        </w:tc>
      </w:tr>
      <w:tr w:rsidR="006A313E" w:rsidRPr="00AF0DB5" w14:paraId="43201B24" w14:textId="77777777" w:rsidTr="00C26092">
        <w:trPr>
          <w:trHeight w:val="300"/>
        </w:trPr>
        <w:tc>
          <w:tcPr>
            <w:tcW w:w="1068" w:type="dxa"/>
          </w:tcPr>
          <w:p w14:paraId="62F201CB" w14:textId="77777777" w:rsidR="006A313E" w:rsidRPr="00981063" w:rsidRDefault="006A313E" w:rsidP="006A313E"/>
        </w:tc>
        <w:tc>
          <w:tcPr>
            <w:tcW w:w="917" w:type="dxa"/>
            <w:noWrap/>
          </w:tcPr>
          <w:p w14:paraId="793BB5FD" w14:textId="77777777" w:rsidR="006A313E" w:rsidRPr="00981063" w:rsidRDefault="006A313E" w:rsidP="006A313E"/>
        </w:tc>
        <w:tc>
          <w:tcPr>
            <w:tcW w:w="1701" w:type="dxa"/>
            <w:noWrap/>
          </w:tcPr>
          <w:p w14:paraId="02C1A4AC" w14:textId="77777777" w:rsidR="006A313E" w:rsidRPr="00981063" w:rsidRDefault="006A313E" w:rsidP="006A313E"/>
        </w:tc>
        <w:tc>
          <w:tcPr>
            <w:tcW w:w="4962" w:type="dxa"/>
            <w:noWrap/>
          </w:tcPr>
          <w:p w14:paraId="59D71467" w14:textId="77777777" w:rsidR="006A313E" w:rsidRPr="00981063" w:rsidRDefault="006A313E" w:rsidP="006A313E"/>
        </w:tc>
        <w:tc>
          <w:tcPr>
            <w:tcW w:w="1294" w:type="dxa"/>
            <w:noWrap/>
          </w:tcPr>
          <w:p w14:paraId="2B369CEC" w14:textId="77777777" w:rsidR="006A313E" w:rsidRPr="00981063" w:rsidRDefault="006A313E" w:rsidP="006A313E"/>
        </w:tc>
        <w:tc>
          <w:tcPr>
            <w:tcW w:w="5651" w:type="dxa"/>
            <w:noWrap/>
          </w:tcPr>
          <w:p w14:paraId="692ECA9F" w14:textId="77777777" w:rsidR="006A313E" w:rsidRPr="00D740A6" w:rsidRDefault="006A313E" w:rsidP="006A313E">
            <w:pPr>
              <w:rPr>
                <w:shd w:val="clear" w:color="auto" w:fill="E7E6E6"/>
              </w:rPr>
            </w:pPr>
          </w:p>
        </w:tc>
      </w:tr>
      <w:tr w:rsidR="006A313E" w:rsidRPr="00AF0DB5" w14:paraId="5ED00CA9" w14:textId="77777777" w:rsidTr="00C26092">
        <w:trPr>
          <w:trHeight w:val="300"/>
        </w:trPr>
        <w:tc>
          <w:tcPr>
            <w:tcW w:w="1068" w:type="dxa"/>
          </w:tcPr>
          <w:p w14:paraId="41BE04B4" w14:textId="77777777" w:rsidR="006A313E" w:rsidRPr="00981063" w:rsidRDefault="006A313E" w:rsidP="006A313E"/>
        </w:tc>
        <w:tc>
          <w:tcPr>
            <w:tcW w:w="917" w:type="dxa"/>
            <w:noWrap/>
          </w:tcPr>
          <w:p w14:paraId="31C731F4" w14:textId="77777777" w:rsidR="006A313E" w:rsidRPr="00981063" w:rsidRDefault="006A313E" w:rsidP="006A313E"/>
        </w:tc>
        <w:tc>
          <w:tcPr>
            <w:tcW w:w="1701" w:type="dxa"/>
            <w:noWrap/>
          </w:tcPr>
          <w:p w14:paraId="41D418D6" w14:textId="77777777" w:rsidR="006A313E" w:rsidRPr="00981063" w:rsidRDefault="006A313E" w:rsidP="006A313E"/>
        </w:tc>
        <w:tc>
          <w:tcPr>
            <w:tcW w:w="4962" w:type="dxa"/>
            <w:noWrap/>
          </w:tcPr>
          <w:p w14:paraId="00C99041" w14:textId="77777777" w:rsidR="006A313E" w:rsidRPr="00981063" w:rsidRDefault="006A313E" w:rsidP="006A313E"/>
        </w:tc>
        <w:tc>
          <w:tcPr>
            <w:tcW w:w="1294" w:type="dxa"/>
            <w:noWrap/>
          </w:tcPr>
          <w:p w14:paraId="4FAFBE2B" w14:textId="77777777" w:rsidR="006A313E" w:rsidRPr="00981063" w:rsidRDefault="006A313E" w:rsidP="006A313E"/>
        </w:tc>
        <w:tc>
          <w:tcPr>
            <w:tcW w:w="5651" w:type="dxa"/>
            <w:noWrap/>
          </w:tcPr>
          <w:p w14:paraId="241F4613" w14:textId="77777777" w:rsidR="006A313E" w:rsidRPr="00D740A6" w:rsidRDefault="006A313E" w:rsidP="006A313E">
            <w:pPr>
              <w:rPr>
                <w:shd w:val="clear" w:color="auto" w:fill="E7E6E6"/>
              </w:rPr>
            </w:pPr>
          </w:p>
        </w:tc>
      </w:tr>
      <w:tr w:rsidR="006A313E" w:rsidRPr="00AF0DB5" w14:paraId="1A554EF9" w14:textId="77777777" w:rsidTr="00C26092">
        <w:trPr>
          <w:trHeight w:val="300"/>
        </w:trPr>
        <w:tc>
          <w:tcPr>
            <w:tcW w:w="1068" w:type="dxa"/>
          </w:tcPr>
          <w:p w14:paraId="6E828D5A" w14:textId="77777777" w:rsidR="006A313E" w:rsidRPr="00981063" w:rsidRDefault="006A313E" w:rsidP="006A313E"/>
        </w:tc>
        <w:tc>
          <w:tcPr>
            <w:tcW w:w="917" w:type="dxa"/>
            <w:noWrap/>
          </w:tcPr>
          <w:p w14:paraId="2175AD5C" w14:textId="77777777" w:rsidR="006A313E" w:rsidRPr="00981063" w:rsidRDefault="006A313E" w:rsidP="006A313E"/>
        </w:tc>
        <w:tc>
          <w:tcPr>
            <w:tcW w:w="1701" w:type="dxa"/>
            <w:noWrap/>
          </w:tcPr>
          <w:p w14:paraId="3A88590C" w14:textId="77777777" w:rsidR="006A313E" w:rsidRPr="00981063" w:rsidRDefault="006A313E" w:rsidP="006A313E"/>
        </w:tc>
        <w:tc>
          <w:tcPr>
            <w:tcW w:w="4962" w:type="dxa"/>
            <w:noWrap/>
          </w:tcPr>
          <w:p w14:paraId="1BCCE4CC" w14:textId="77777777" w:rsidR="006A313E" w:rsidRPr="00981063" w:rsidRDefault="006A313E" w:rsidP="006A313E"/>
        </w:tc>
        <w:tc>
          <w:tcPr>
            <w:tcW w:w="1294" w:type="dxa"/>
            <w:noWrap/>
          </w:tcPr>
          <w:p w14:paraId="1E722BDF" w14:textId="77777777" w:rsidR="006A313E" w:rsidRPr="00981063" w:rsidRDefault="006A313E" w:rsidP="006A313E"/>
        </w:tc>
        <w:tc>
          <w:tcPr>
            <w:tcW w:w="5651" w:type="dxa"/>
            <w:noWrap/>
          </w:tcPr>
          <w:p w14:paraId="1D09C19C" w14:textId="77777777" w:rsidR="006A313E" w:rsidRPr="00D740A6" w:rsidRDefault="006A313E" w:rsidP="006A313E">
            <w:pPr>
              <w:rPr>
                <w:shd w:val="clear" w:color="auto" w:fill="E7E6E6"/>
              </w:rPr>
            </w:pPr>
          </w:p>
        </w:tc>
      </w:tr>
    </w:tbl>
    <w:p w14:paraId="55C35D01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5E472" w14:textId="77777777" w:rsidR="00DC6302" w:rsidRDefault="00DC6302" w:rsidP="003A053F">
      <w:r>
        <w:separator/>
      </w:r>
    </w:p>
  </w:endnote>
  <w:endnote w:type="continuationSeparator" w:id="0">
    <w:p w14:paraId="0257315B" w14:textId="77777777" w:rsidR="00DC6302" w:rsidRDefault="00DC6302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FEF1" w14:textId="77777777" w:rsidR="000A640F" w:rsidRDefault="000A64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DC36" w14:textId="6461DCB0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300F38">
      <w:rPr>
        <w:noProof/>
      </w:rPr>
      <w:t>CR1558_4CB_ExtSecuritiesAccountTypeCode_v1.docx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200427" w:rsidRPr="00200427">
      <w:rPr>
        <w:shd w:val="clear" w:color="auto" w:fill="E7E6E6"/>
      </w:rPr>
      <w:t>4CB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B900B0">
      <w:rPr>
        <w:rStyle w:val="PageNumber"/>
        <w:noProof/>
      </w:rPr>
      <w:t>7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12527" w14:textId="77777777" w:rsidR="000A640F" w:rsidRDefault="000A64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12317" w14:textId="77777777" w:rsidR="00DC6302" w:rsidRDefault="00DC6302" w:rsidP="003A053F">
      <w:r>
        <w:separator/>
      </w:r>
    </w:p>
  </w:footnote>
  <w:footnote w:type="continuationSeparator" w:id="0">
    <w:p w14:paraId="42589FCC" w14:textId="77777777" w:rsidR="00DC6302" w:rsidRDefault="00DC6302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44D" w14:textId="77777777" w:rsidR="000A640F" w:rsidRDefault="000A64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1336E" w14:textId="44F63EA2" w:rsidR="000A640F" w:rsidRPr="000A640F" w:rsidRDefault="000A640F">
    <w:pPr>
      <w:pStyle w:val="Header"/>
      <w:rPr>
        <w:lang w:val="en-GB"/>
      </w:rPr>
    </w:pPr>
    <w:r>
      <w:rPr>
        <w:lang w:val="en-GB"/>
      </w:rPr>
      <w:t>RA ID: CR1558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965D1" w14:textId="77777777" w:rsidR="000A640F" w:rsidRDefault="000A64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B8334A"/>
    <w:multiLevelType w:val="hybridMultilevel"/>
    <w:tmpl w:val="410A6BBC"/>
    <w:lvl w:ilvl="0" w:tplc="9BFC97F6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500123">
    <w:abstractNumId w:val="2"/>
  </w:num>
  <w:num w:numId="2" w16cid:durableId="1050302582">
    <w:abstractNumId w:val="0"/>
  </w:num>
  <w:num w:numId="3" w16cid:durableId="894781670">
    <w:abstractNumId w:val="1"/>
  </w:num>
  <w:num w:numId="4" w16cid:durableId="858472374">
    <w:abstractNumId w:val="3"/>
  </w:num>
  <w:num w:numId="5" w16cid:durableId="731580306">
    <w:abstractNumId w:val="25"/>
  </w:num>
  <w:num w:numId="6" w16cid:durableId="1174683023">
    <w:abstractNumId w:val="14"/>
  </w:num>
  <w:num w:numId="7" w16cid:durableId="901596666">
    <w:abstractNumId w:val="18"/>
  </w:num>
  <w:num w:numId="8" w16cid:durableId="1635602581">
    <w:abstractNumId w:val="15"/>
  </w:num>
  <w:num w:numId="9" w16cid:durableId="2082214139">
    <w:abstractNumId w:val="24"/>
  </w:num>
  <w:num w:numId="10" w16cid:durableId="1628658003">
    <w:abstractNumId w:val="5"/>
  </w:num>
  <w:num w:numId="11" w16cid:durableId="2107191778">
    <w:abstractNumId w:val="11"/>
  </w:num>
  <w:num w:numId="12" w16cid:durableId="64035473">
    <w:abstractNumId w:val="16"/>
  </w:num>
  <w:num w:numId="13" w16cid:durableId="1321346918">
    <w:abstractNumId w:val="4"/>
  </w:num>
  <w:num w:numId="14" w16cid:durableId="385182683">
    <w:abstractNumId w:val="9"/>
  </w:num>
  <w:num w:numId="15" w16cid:durableId="1969318242">
    <w:abstractNumId w:val="20"/>
  </w:num>
  <w:num w:numId="16" w16cid:durableId="1401976665">
    <w:abstractNumId w:val="19"/>
  </w:num>
  <w:num w:numId="17" w16cid:durableId="1559782231">
    <w:abstractNumId w:val="7"/>
  </w:num>
  <w:num w:numId="18" w16cid:durableId="1601520755">
    <w:abstractNumId w:val="26"/>
  </w:num>
  <w:num w:numId="19" w16cid:durableId="422188945">
    <w:abstractNumId w:val="6"/>
  </w:num>
  <w:num w:numId="20" w16cid:durableId="240454539">
    <w:abstractNumId w:val="22"/>
  </w:num>
  <w:num w:numId="21" w16cid:durableId="1167787471">
    <w:abstractNumId w:val="28"/>
  </w:num>
  <w:num w:numId="22" w16cid:durableId="486439136">
    <w:abstractNumId w:val="27"/>
  </w:num>
  <w:num w:numId="23" w16cid:durableId="1825659223">
    <w:abstractNumId w:val="13"/>
  </w:num>
  <w:num w:numId="24" w16cid:durableId="634145938">
    <w:abstractNumId w:val="23"/>
  </w:num>
  <w:num w:numId="25" w16cid:durableId="2041391382">
    <w:abstractNumId w:val="12"/>
  </w:num>
  <w:num w:numId="26" w16cid:durableId="1409813462">
    <w:abstractNumId w:val="8"/>
  </w:num>
  <w:num w:numId="27" w16cid:durableId="1335110028">
    <w:abstractNumId w:val="17"/>
  </w:num>
  <w:num w:numId="28" w16cid:durableId="355544394">
    <w:abstractNumId w:val="21"/>
  </w:num>
  <w:num w:numId="29" w16cid:durableId="8822575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26B32"/>
    <w:rsid w:val="0003395A"/>
    <w:rsid w:val="000408BA"/>
    <w:rsid w:val="00041661"/>
    <w:rsid w:val="0004539A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A640F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2B51"/>
    <w:rsid w:val="00114F60"/>
    <w:rsid w:val="00122199"/>
    <w:rsid w:val="001308FF"/>
    <w:rsid w:val="00131D53"/>
    <w:rsid w:val="00140E69"/>
    <w:rsid w:val="00142F00"/>
    <w:rsid w:val="0014379C"/>
    <w:rsid w:val="00153ED1"/>
    <w:rsid w:val="00163DB3"/>
    <w:rsid w:val="001711D3"/>
    <w:rsid w:val="00185453"/>
    <w:rsid w:val="00195C3E"/>
    <w:rsid w:val="001D0D1B"/>
    <w:rsid w:val="001D176B"/>
    <w:rsid w:val="001D20B3"/>
    <w:rsid w:val="001E287E"/>
    <w:rsid w:val="001E2B1C"/>
    <w:rsid w:val="001E3BCF"/>
    <w:rsid w:val="001F72E2"/>
    <w:rsid w:val="00200427"/>
    <w:rsid w:val="00217122"/>
    <w:rsid w:val="00217AE9"/>
    <w:rsid w:val="00225AA9"/>
    <w:rsid w:val="00230574"/>
    <w:rsid w:val="00243DDE"/>
    <w:rsid w:val="002472D9"/>
    <w:rsid w:val="002509A2"/>
    <w:rsid w:val="002521C9"/>
    <w:rsid w:val="00255603"/>
    <w:rsid w:val="002711E6"/>
    <w:rsid w:val="002751AD"/>
    <w:rsid w:val="00275740"/>
    <w:rsid w:val="0028566E"/>
    <w:rsid w:val="002904C8"/>
    <w:rsid w:val="0029072B"/>
    <w:rsid w:val="00297580"/>
    <w:rsid w:val="002A04E0"/>
    <w:rsid w:val="002B0567"/>
    <w:rsid w:val="002C4A56"/>
    <w:rsid w:val="002D549A"/>
    <w:rsid w:val="002E014D"/>
    <w:rsid w:val="002E221D"/>
    <w:rsid w:val="002E27A9"/>
    <w:rsid w:val="003006F2"/>
    <w:rsid w:val="00300F38"/>
    <w:rsid w:val="00301C9C"/>
    <w:rsid w:val="00303E94"/>
    <w:rsid w:val="00304151"/>
    <w:rsid w:val="00306BB0"/>
    <w:rsid w:val="00316F04"/>
    <w:rsid w:val="00317C74"/>
    <w:rsid w:val="00320A89"/>
    <w:rsid w:val="003238E7"/>
    <w:rsid w:val="00324C6F"/>
    <w:rsid w:val="00332E8F"/>
    <w:rsid w:val="00336209"/>
    <w:rsid w:val="00336ED6"/>
    <w:rsid w:val="00360300"/>
    <w:rsid w:val="0036792F"/>
    <w:rsid w:val="00374F4F"/>
    <w:rsid w:val="00377D36"/>
    <w:rsid w:val="00380928"/>
    <w:rsid w:val="00386B78"/>
    <w:rsid w:val="003A053F"/>
    <w:rsid w:val="003A3D7D"/>
    <w:rsid w:val="003B261A"/>
    <w:rsid w:val="003C0213"/>
    <w:rsid w:val="003C0267"/>
    <w:rsid w:val="003C3840"/>
    <w:rsid w:val="003C7391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0550E"/>
    <w:rsid w:val="00427966"/>
    <w:rsid w:val="0043375F"/>
    <w:rsid w:val="00442581"/>
    <w:rsid w:val="00442EA5"/>
    <w:rsid w:val="0044313F"/>
    <w:rsid w:val="00446B25"/>
    <w:rsid w:val="004475F9"/>
    <w:rsid w:val="0045022C"/>
    <w:rsid w:val="00451986"/>
    <w:rsid w:val="00462051"/>
    <w:rsid w:val="00465900"/>
    <w:rsid w:val="00473145"/>
    <w:rsid w:val="00474AA8"/>
    <w:rsid w:val="004A0CD1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3763D"/>
    <w:rsid w:val="005543A0"/>
    <w:rsid w:val="00555709"/>
    <w:rsid w:val="00563FFF"/>
    <w:rsid w:val="005677B8"/>
    <w:rsid w:val="00567F13"/>
    <w:rsid w:val="00570BEB"/>
    <w:rsid w:val="00575790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D5568"/>
    <w:rsid w:val="005E1210"/>
    <w:rsid w:val="005E3784"/>
    <w:rsid w:val="005E46E4"/>
    <w:rsid w:val="005F05DB"/>
    <w:rsid w:val="005F26AE"/>
    <w:rsid w:val="005F2E6B"/>
    <w:rsid w:val="006043A9"/>
    <w:rsid w:val="00610B1B"/>
    <w:rsid w:val="00610F9A"/>
    <w:rsid w:val="00622329"/>
    <w:rsid w:val="00631A43"/>
    <w:rsid w:val="00633EA4"/>
    <w:rsid w:val="006643DC"/>
    <w:rsid w:val="006703E9"/>
    <w:rsid w:val="0067535D"/>
    <w:rsid w:val="006935EA"/>
    <w:rsid w:val="006A02BC"/>
    <w:rsid w:val="006A313E"/>
    <w:rsid w:val="006A7B96"/>
    <w:rsid w:val="006B20DC"/>
    <w:rsid w:val="006D4A37"/>
    <w:rsid w:val="006F2DBB"/>
    <w:rsid w:val="00702B61"/>
    <w:rsid w:val="00704D7C"/>
    <w:rsid w:val="00706604"/>
    <w:rsid w:val="007118C4"/>
    <w:rsid w:val="00723DE0"/>
    <w:rsid w:val="0073061B"/>
    <w:rsid w:val="00732595"/>
    <w:rsid w:val="0074349F"/>
    <w:rsid w:val="00745F74"/>
    <w:rsid w:val="00746F46"/>
    <w:rsid w:val="0074712A"/>
    <w:rsid w:val="0075466C"/>
    <w:rsid w:val="00774921"/>
    <w:rsid w:val="00780DC4"/>
    <w:rsid w:val="00783891"/>
    <w:rsid w:val="00785283"/>
    <w:rsid w:val="00792693"/>
    <w:rsid w:val="007A16CF"/>
    <w:rsid w:val="007B3927"/>
    <w:rsid w:val="007C66BF"/>
    <w:rsid w:val="007C7AB4"/>
    <w:rsid w:val="007C7CD2"/>
    <w:rsid w:val="007D69B5"/>
    <w:rsid w:val="007D6A9F"/>
    <w:rsid w:val="007E1087"/>
    <w:rsid w:val="007E64D9"/>
    <w:rsid w:val="007F28FA"/>
    <w:rsid w:val="007F60C5"/>
    <w:rsid w:val="007F6A8C"/>
    <w:rsid w:val="00812324"/>
    <w:rsid w:val="00812A48"/>
    <w:rsid w:val="00814D4C"/>
    <w:rsid w:val="00821646"/>
    <w:rsid w:val="00823961"/>
    <w:rsid w:val="008265E8"/>
    <w:rsid w:val="008270CD"/>
    <w:rsid w:val="008270DF"/>
    <w:rsid w:val="0084123C"/>
    <w:rsid w:val="008438AF"/>
    <w:rsid w:val="00843FE8"/>
    <w:rsid w:val="00852841"/>
    <w:rsid w:val="00854FA6"/>
    <w:rsid w:val="0085530C"/>
    <w:rsid w:val="00861199"/>
    <w:rsid w:val="00861DA2"/>
    <w:rsid w:val="00865197"/>
    <w:rsid w:val="008656A6"/>
    <w:rsid w:val="00865C2F"/>
    <w:rsid w:val="0086676E"/>
    <w:rsid w:val="00875210"/>
    <w:rsid w:val="008869D6"/>
    <w:rsid w:val="008A7F65"/>
    <w:rsid w:val="008B41F0"/>
    <w:rsid w:val="008B790F"/>
    <w:rsid w:val="008F0DBB"/>
    <w:rsid w:val="008F54DE"/>
    <w:rsid w:val="008F5C90"/>
    <w:rsid w:val="00906C6A"/>
    <w:rsid w:val="00914273"/>
    <w:rsid w:val="00916A80"/>
    <w:rsid w:val="009279BF"/>
    <w:rsid w:val="00936342"/>
    <w:rsid w:val="00937D26"/>
    <w:rsid w:val="00942150"/>
    <w:rsid w:val="00951C86"/>
    <w:rsid w:val="00956D7A"/>
    <w:rsid w:val="00966046"/>
    <w:rsid w:val="00966646"/>
    <w:rsid w:val="009770EE"/>
    <w:rsid w:val="00981063"/>
    <w:rsid w:val="009C1445"/>
    <w:rsid w:val="009E0AB7"/>
    <w:rsid w:val="00A06923"/>
    <w:rsid w:val="00A21B8D"/>
    <w:rsid w:val="00A25B84"/>
    <w:rsid w:val="00A46877"/>
    <w:rsid w:val="00A47C6F"/>
    <w:rsid w:val="00A5492F"/>
    <w:rsid w:val="00A60DC3"/>
    <w:rsid w:val="00A60E56"/>
    <w:rsid w:val="00A821A8"/>
    <w:rsid w:val="00A91F56"/>
    <w:rsid w:val="00AA5E76"/>
    <w:rsid w:val="00AA6930"/>
    <w:rsid w:val="00AD08FD"/>
    <w:rsid w:val="00AE0576"/>
    <w:rsid w:val="00AE0A90"/>
    <w:rsid w:val="00AE4D14"/>
    <w:rsid w:val="00AF09E1"/>
    <w:rsid w:val="00AF0DB5"/>
    <w:rsid w:val="00AF2EBF"/>
    <w:rsid w:val="00AF59DB"/>
    <w:rsid w:val="00B01132"/>
    <w:rsid w:val="00B06CA8"/>
    <w:rsid w:val="00B14A05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00B0"/>
    <w:rsid w:val="00B921E0"/>
    <w:rsid w:val="00BA1600"/>
    <w:rsid w:val="00BA611B"/>
    <w:rsid w:val="00BA6D25"/>
    <w:rsid w:val="00BB7F97"/>
    <w:rsid w:val="00BC2DA7"/>
    <w:rsid w:val="00BC2E30"/>
    <w:rsid w:val="00BC4371"/>
    <w:rsid w:val="00BC4D68"/>
    <w:rsid w:val="00BD6786"/>
    <w:rsid w:val="00BE5414"/>
    <w:rsid w:val="00C06496"/>
    <w:rsid w:val="00C122AE"/>
    <w:rsid w:val="00C17665"/>
    <w:rsid w:val="00C26092"/>
    <w:rsid w:val="00C269E4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A18BF"/>
    <w:rsid w:val="00CB683A"/>
    <w:rsid w:val="00CB6CF4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31210"/>
    <w:rsid w:val="00D51B61"/>
    <w:rsid w:val="00D56571"/>
    <w:rsid w:val="00D62FCA"/>
    <w:rsid w:val="00D67A42"/>
    <w:rsid w:val="00D67DE0"/>
    <w:rsid w:val="00D740A6"/>
    <w:rsid w:val="00D74F66"/>
    <w:rsid w:val="00D82FBD"/>
    <w:rsid w:val="00D843BF"/>
    <w:rsid w:val="00D9321D"/>
    <w:rsid w:val="00D9338F"/>
    <w:rsid w:val="00D9582C"/>
    <w:rsid w:val="00DA043A"/>
    <w:rsid w:val="00DA116C"/>
    <w:rsid w:val="00DA22C9"/>
    <w:rsid w:val="00DB1F8A"/>
    <w:rsid w:val="00DB419A"/>
    <w:rsid w:val="00DC195F"/>
    <w:rsid w:val="00DC4884"/>
    <w:rsid w:val="00DC6302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478E6"/>
    <w:rsid w:val="00E5111B"/>
    <w:rsid w:val="00E67D1B"/>
    <w:rsid w:val="00E7537D"/>
    <w:rsid w:val="00E845AB"/>
    <w:rsid w:val="00E8579D"/>
    <w:rsid w:val="00E914F6"/>
    <w:rsid w:val="00E928F1"/>
    <w:rsid w:val="00EA0A58"/>
    <w:rsid w:val="00EA246B"/>
    <w:rsid w:val="00EA3454"/>
    <w:rsid w:val="00EA7EC4"/>
    <w:rsid w:val="00EB2786"/>
    <w:rsid w:val="00EB56D9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95714"/>
    <w:rsid w:val="00FA112C"/>
    <w:rsid w:val="00FA14E4"/>
    <w:rsid w:val="00FA227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E4371B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7535D"/>
    <w:pPr>
      <w:widowControl w:val="0"/>
      <w:autoSpaceDE w:val="0"/>
      <w:autoSpaceDN w:val="0"/>
      <w:spacing w:before="0"/>
    </w:pPr>
    <w:rPr>
      <w:rFonts w:eastAsia="Arial" w:cs="Arial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7535D"/>
    <w:rPr>
      <w:rFonts w:ascii="Arial" w:eastAsia="Arial" w:hAnsi="Arial" w:cs="Arial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36792F"/>
    <w:rPr>
      <w:rFonts w:ascii="Arial" w:hAnsi="Arial"/>
      <w:sz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14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2s-fam@bundesbank.de" TargetMode="External"/><Relationship Id="rId24" Type="http://schemas.openxmlformats.org/officeDocument/2006/relationships/customXml" Target="../customXml/item5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hyperlink" Target="mailto:T2S-FIT@bancaditalia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ccardo.mancini@bancaditalia.it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MSKTH6SNCJSU-234293521-45930</_dlc_DocId>
    <_dlc_DocIdUrl xmlns="806285ac-449a-4fb1-8311-58d88e150cc7">
      <Url>https://swiftcorp.sharepoint.com/sites/ps-ow-standards team/_layouts/15/DocIdRedir.aspx?ID=MSKTH6SNCJSU-234293521-45930</Url>
      <Description>MSKTH6SNCJSU-234293521-45930</Description>
    </_dlc_DocIdUrl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</documentManagement>
</p:properties>
</file>

<file path=customXml/itemProps1.xml><?xml version="1.0" encoding="utf-8"?>
<ds:datastoreItem xmlns:ds="http://schemas.openxmlformats.org/officeDocument/2006/customXml" ds:itemID="{A1310730-BE24-44BB-B7EB-6A4550E52A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BA5095-537B-47C0-B3A0-413FD37F602D}"/>
</file>

<file path=customXml/itemProps3.xml><?xml version="1.0" encoding="utf-8"?>
<ds:datastoreItem xmlns:ds="http://schemas.openxmlformats.org/officeDocument/2006/customXml" ds:itemID="{342DE840-6954-4632-BF02-61D6509B0BD3}"/>
</file>

<file path=customXml/itemProps4.xml><?xml version="1.0" encoding="utf-8"?>
<ds:datastoreItem xmlns:ds="http://schemas.openxmlformats.org/officeDocument/2006/customXml" ds:itemID="{8955CE07-B12C-4403-9715-FB99AB50F6CF}"/>
</file>

<file path=customXml/itemProps5.xml><?xml version="1.0" encoding="utf-8"?>
<ds:datastoreItem xmlns:ds="http://schemas.openxmlformats.org/officeDocument/2006/customXml" ds:itemID="{397390FC-32CE-4545-829A-0C67A9F97989}"/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1069</Words>
  <Characters>6431</Characters>
  <Application>Microsoft Office Word</Application>
  <DocSecurity>0</DocSecurity>
  <Lines>292</Lines>
  <Paragraphs>159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EXTERNAL CODE SETS CHANGE REQUEST</vt:lpstr>
      <vt:lpstr>EXTERNAL CODE SETS CHANGE REQUEST</vt:lpstr>
      <vt:lpstr>EXTERNAL CODE SETS CHANGE REQUEST</vt:lpstr>
    </vt:vector>
  </TitlesOfParts>
  <Company>S.W.I.F.T. sc</Company>
  <LinksUpToDate>false</LinksUpToDate>
  <CharactersWithSpaces>7341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4</cp:revision>
  <cp:lastPrinted>2009-03-10T11:18:00Z</cp:lastPrinted>
  <dcterms:created xsi:type="dcterms:W3CDTF">2026-02-10T15:54:00Z</dcterms:created>
  <dcterms:modified xsi:type="dcterms:W3CDTF">2026-02-10T15:56:00Z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0x010100FA5E47E012EAA240A32F04A8870061BA</vt:lpwstr>
  </property>
  <property fmtid="{D5CDD505-2E9C-101B-9397-08002B2CF9AE}" pid="4" name="_dlc_DocIdItemGuid">
    <vt:lpwstr>7cd42cb4-d7d2-442a-a84e-b486f7e805fb</vt:lpwstr>
  </property>
</Properties>
</file>