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99CF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Change Request</w:t>
      </w:r>
    </w:p>
    <w:p w14:paraId="56B46CEB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865C2F" w:rsidRPr="00865C2F">
        <w:rPr>
          <w:b/>
          <w:smallCaps/>
          <w:szCs w:val="24"/>
          <w:lang w:val="en-GB"/>
        </w:rPr>
        <w:t>ISO 20022 financial repository</w:t>
      </w:r>
      <w:r w:rsidR="00DD37B4">
        <w:rPr>
          <w:b/>
          <w:smallCaps/>
          <w:szCs w:val="24"/>
          <w:lang w:val="en-GB"/>
        </w:rPr>
        <w:t xml:space="preserve"> items</w:t>
      </w:r>
    </w:p>
    <w:p w14:paraId="62C36197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7C83BF1C" w14:textId="77777777" w:rsidR="00C16FF8" w:rsidRPr="00084BFC" w:rsidRDefault="00C16FF8" w:rsidP="00084BFC">
      <w:pPr>
        <w:tabs>
          <w:tab w:val="left" w:pos="1440"/>
        </w:tabs>
        <w:rPr>
          <w:rFonts w:cs="Arial"/>
          <w:i/>
          <w:lang w:val="en-GB" w:eastAsia="ja-JP"/>
        </w:rPr>
      </w:pPr>
      <w:r w:rsidRPr="00237853">
        <w:rPr>
          <w:rFonts w:cs="Arial"/>
          <w:i/>
          <w:lang w:val="en-GB"/>
        </w:rPr>
        <w:t xml:space="preserve">A.1 Submitter </w:t>
      </w:r>
      <w:r w:rsidRPr="00237853">
        <w:rPr>
          <w:rFonts w:cs="Arial"/>
          <w:lang w:val="en-GB"/>
        </w:rPr>
        <w:t xml:space="preserve">: </w:t>
      </w:r>
      <w:r w:rsidR="00084BFC">
        <w:rPr>
          <w:rFonts w:cs="Arial"/>
          <w:lang w:val="en-GB"/>
        </w:rPr>
        <w:tab/>
      </w:r>
      <w:r w:rsidRPr="00237853">
        <w:rPr>
          <w:rFonts w:cs="Arial"/>
          <w:lang w:val="en-GB"/>
        </w:rPr>
        <w:t xml:space="preserve">SWIFT Standards  </w:t>
      </w:r>
      <w:r w:rsidR="00084BFC">
        <w:rPr>
          <w:rFonts w:cs="Arial"/>
          <w:lang w:val="en-GB"/>
        </w:rPr>
        <w:tab/>
        <w:t>(</w:t>
      </w:r>
      <w:r w:rsidR="00084BFC">
        <w:rPr>
          <w:rFonts w:cs="Arial"/>
          <w:i/>
          <w:lang w:val="en-GB"/>
        </w:rPr>
        <w:t>submitted 13 February 201</w:t>
      </w:r>
      <w:r w:rsidR="00AC334E">
        <w:rPr>
          <w:rFonts w:cs="Arial"/>
          <w:i/>
          <w:lang w:val="en-GB"/>
        </w:rPr>
        <w:t>4</w:t>
      </w:r>
      <w:r w:rsidR="00084BFC">
        <w:rPr>
          <w:rFonts w:cs="Arial"/>
          <w:i/>
          <w:lang w:val="en-GB"/>
        </w:rPr>
        <w:t>)</w:t>
      </w:r>
    </w:p>
    <w:p w14:paraId="65478C88" w14:textId="77777777" w:rsidR="00084BFC" w:rsidRDefault="00C16FF8" w:rsidP="00084BFC">
      <w:pPr>
        <w:tabs>
          <w:tab w:val="left" w:pos="1890"/>
        </w:tabs>
        <w:rPr>
          <w:rFonts w:cs="Arial"/>
          <w:lang w:val="it-IT"/>
        </w:rPr>
      </w:pPr>
      <w:r w:rsidRPr="00237853">
        <w:rPr>
          <w:rFonts w:cs="Arial"/>
          <w:i/>
          <w:lang w:val="it-IT"/>
        </w:rPr>
        <w:t>A.2 Contact person:</w:t>
      </w:r>
      <w:r w:rsidRPr="00237853">
        <w:rPr>
          <w:rFonts w:cs="Arial"/>
          <w:lang w:val="it-IT"/>
        </w:rPr>
        <w:t xml:space="preserve"> </w:t>
      </w:r>
    </w:p>
    <w:p w14:paraId="04E724E3" w14:textId="6A4530B6" w:rsidR="00C16FF8" w:rsidRDefault="00084BFC" w:rsidP="00084BFC">
      <w:pPr>
        <w:tabs>
          <w:tab w:val="left" w:pos="1440"/>
          <w:tab w:val="left" w:pos="1890"/>
        </w:tabs>
        <w:rPr>
          <w:rFonts w:cs="Arial"/>
          <w:lang w:val="it-IT"/>
        </w:rPr>
      </w:pPr>
      <w:r>
        <w:rPr>
          <w:rFonts w:cs="Arial"/>
          <w:lang w:val="it-IT"/>
        </w:rPr>
        <w:tab/>
      </w:r>
      <w:r w:rsidR="00C16FF8" w:rsidRPr="00237853">
        <w:rPr>
          <w:rFonts w:cs="Arial"/>
          <w:lang w:val="it-IT"/>
        </w:rPr>
        <w:t>Janice Chapman</w:t>
      </w:r>
      <w:r>
        <w:rPr>
          <w:rFonts w:cs="Arial"/>
          <w:lang w:val="it-IT"/>
        </w:rPr>
        <w:tab/>
      </w:r>
      <w:hyperlink r:id="rId13" w:history="1">
        <w:r w:rsidRPr="00EB1837">
          <w:rPr>
            <w:rStyle w:val="Hyperlink"/>
            <w:rFonts w:cs="Arial"/>
            <w:lang w:val="it-IT"/>
          </w:rPr>
          <w:t>janice.chapman@swift.com</w:t>
        </w:r>
      </w:hyperlink>
      <w:r>
        <w:rPr>
          <w:rFonts w:cs="Arial"/>
          <w:lang w:val="it-IT"/>
        </w:rPr>
        <w:tab/>
      </w:r>
      <w:r w:rsidR="00C16FF8" w:rsidRPr="00237853">
        <w:rPr>
          <w:rFonts w:cs="Arial"/>
          <w:lang w:val="it-IT"/>
        </w:rPr>
        <w:t xml:space="preserve"> +32 2 655 3390</w:t>
      </w:r>
    </w:p>
    <w:p w14:paraId="327EC606" w14:textId="77777777" w:rsidR="00577BCC" w:rsidRPr="00C16FF8" w:rsidRDefault="00C16FF8" w:rsidP="008438AF">
      <w:pPr>
        <w:rPr>
          <w:rFonts w:cs="Arial"/>
          <w:i/>
          <w:lang w:val="it-IT"/>
        </w:rPr>
      </w:pPr>
      <w:r>
        <w:rPr>
          <w:rFonts w:cs="Arial"/>
          <w:lang w:val="it-IT"/>
        </w:rPr>
        <w:t xml:space="preserve">A.3 </w:t>
      </w:r>
      <w:r>
        <w:rPr>
          <w:rFonts w:cs="Arial"/>
          <w:i/>
          <w:lang w:val="it-IT"/>
        </w:rPr>
        <w:t xml:space="preserve">Sponsor: </w:t>
      </w:r>
    </w:p>
    <w:p w14:paraId="447F9870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Related m</w:t>
      </w:r>
      <w:r w:rsidRPr="00451986">
        <w:rPr>
          <w:b/>
          <w:lang w:val="en-GB"/>
        </w:rPr>
        <w:t>essages:</w:t>
      </w:r>
    </w:p>
    <w:tbl>
      <w:tblPr>
        <w:tblW w:w="942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710"/>
        <w:gridCol w:w="6120"/>
        <w:gridCol w:w="1596"/>
      </w:tblGrid>
      <w:tr w:rsidR="00C16FF8" w:rsidRPr="0077766A" w14:paraId="31C5F962" w14:textId="77777777" w:rsidTr="008814B8">
        <w:trPr>
          <w:trHeight w:val="20"/>
        </w:trPr>
        <w:tc>
          <w:tcPr>
            <w:tcW w:w="1710" w:type="dxa"/>
          </w:tcPr>
          <w:p w14:paraId="6E07ECBB" w14:textId="77777777" w:rsidR="00C16FF8" w:rsidRPr="0077766A" w:rsidRDefault="00C16FF8" w:rsidP="00C16FF8">
            <w:pPr>
              <w:numPr>
                <w:ilvl w:val="0"/>
                <w:numId w:val="17"/>
              </w:num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6120" w:type="dxa"/>
            <w:shd w:val="clear" w:color="auto" w:fill="auto"/>
          </w:tcPr>
          <w:p w14:paraId="4111BF4A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Price Report V04</w:t>
            </w:r>
          </w:p>
        </w:tc>
        <w:tc>
          <w:tcPr>
            <w:tcW w:w="1596" w:type="dxa"/>
            <w:shd w:val="clear" w:color="auto" w:fill="auto"/>
          </w:tcPr>
          <w:p w14:paraId="60E44F60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bCs/>
              </w:rPr>
            </w:pPr>
            <w:r w:rsidRPr="0077766A">
              <w:rPr>
                <w:rFonts w:ascii="Calibri" w:hAnsi="Calibri" w:cs="Calibri"/>
                <w:bCs/>
              </w:rPr>
              <w:t>reda.001.001.04</w:t>
            </w:r>
          </w:p>
        </w:tc>
      </w:tr>
      <w:tr w:rsidR="00C16FF8" w:rsidRPr="0077766A" w14:paraId="37CC2AB4" w14:textId="77777777" w:rsidTr="008814B8">
        <w:trPr>
          <w:trHeight w:val="20"/>
        </w:trPr>
        <w:tc>
          <w:tcPr>
            <w:tcW w:w="1710" w:type="dxa"/>
          </w:tcPr>
          <w:p w14:paraId="12FCE079" w14:textId="77777777" w:rsidR="00C16FF8" w:rsidRPr="0077766A" w:rsidRDefault="00C16FF8" w:rsidP="00C16FF8">
            <w:pPr>
              <w:numPr>
                <w:ilvl w:val="0"/>
                <w:numId w:val="17"/>
              </w:num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6120" w:type="dxa"/>
            <w:shd w:val="clear" w:color="auto" w:fill="auto"/>
          </w:tcPr>
          <w:p w14:paraId="0A3C3A75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</w:rPr>
            </w:pPr>
            <w:r w:rsidRPr="0077766A">
              <w:rPr>
                <w:rFonts w:ascii="Calibri" w:hAnsi="Calibri" w:cs="Calibri"/>
              </w:rPr>
              <w:t>Price Report</w:t>
            </w:r>
            <w:r>
              <w:rPr>
                <w:rFonts w:ascii="Calibri" w:hAnsi="Calibri" w:cs="Calibri"/>
              </w:rPr>
              <w:t xml:space="preserve"> Cancellation V04</w:t>
            </w:r>
          </w:p>
        </w:tc>
        <w:tc>
          <w:tcPr>
            <w:tcW w:w="1596" w:type="dxa"/>
            <w:shd w:val="clear" w:color="auto" w:fill="auto"/>
          </w:tcPr>
          <w:p w14:paraId="439B4C55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bCs/>
              </w:rPr>
            </w:pPr>
            <w:r w:rsidRPr="0077766A">
              <w:rPr>
                <w:rFonts w:ascii="Calibri" w:hAnsi="Calibri" w:cs="Calibri"/>
                <w:bCs/>
              </w:rPr>
              <w:t>reda.002.001.04</w:t>
            </w:r>
          </w:p>
        </w:tc>
      </w:tr>
      <w:tr w:rsidR="00C16FF8" w:rsidRPr="0077766A" w14:paraId="0437BA70" w14:textId="77777777" w:rsidTr="008814B8">
        <w:trPr>
          <w:trHeight w:val="20"/>
        </w:trPr>
        <w:tc>
          <w:tcPr>
            <w:tcW w:w="1710" w:type="dxa"/>
          </w:tcPr>
          <w:p w14:paraId="2E8EFC5B" w14:textId="77777777" w:rsidR="00C16FF8" w:rsidRPr="0077766A" w:rsidRDefault="00C16FF8" w:rsidP="00C16FF8">
            <w:pPr>
              <w:numPr>
                <w:ilvl w:val="0"/>
                <w:numId w:val="17"/>
              </w:num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6120" w:type="dxa"/>
            <w:shd w:val="clear" w:color="auto" w:fill="auto"/>
          </w:tcPr>
          <w:p w14:paraId="3E73F50B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</w:rPr>
            </w:pPr>
            <w:r w:rsidRPr="0077766A">
              <w:rPr>
                <w:rFonts w:ascii="Calibri" w:hAnsi="Calibri" w:cs="Calibri"/>
              </w:rPr>
              <w:t>Fund Processing Passport Report V02</w:t>
            </w:r>
          </w:p>
        </w:tc>
        <w:tc>
          <w:tcPr>
            <w:tcW w:w="1596" w:type="dxa"/>
            <w:shd w:val="clear" w:color="auto" w:fill="auto"/>
            <w:vAlign w:val="bottom"/>
          </w:tcPr>
          <w:p w14:paraId="018C7381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bCs/>
              </w:rPr>
            </w:pPr>
            <w:r w:rsidRPr="0077766A">
              <w:rPr>
                <w:rFonts w:ascii="Calibri" w:hAnsi="Calibri" w:cs="Calibri"/>
                <w:bCs/>
              </w:rPr>
              <w:t>reda.004.001.02</w:t>
            </w:r>
          </w:p>
        </w:tc>
      </w:tr>
      <w:tr w:rsidR="00C16FF8" w:rsidRPr="0077766A" w14:paraId="23BADB56" w14:textId="77777777" w:rsidTr="008814B8">
        <w:trPr>
          <w:trHeight w:val="20"/>
        </w:trPr>
        <w:tc>
          <w:tcPr>
            <w:tcW w:w="1710" w:type="dxa"/>
          </w:tcPr>
          <w:p w14:paraId="68F8125C" w14:textId="77777777" w:rsidR="00C16FF8" w:rsidRPr="0077766A" w:rsidRDefault="00C16FF8" w:rsidP="00C16FF8">
            <w:pPr>
              <w:numPr>
                <w:ilvl w:val="0"/>
                <w:numId w:val="17"/>
              </w:numPr>
              <w:spacing w:before="20" w:after="20"/>
              <w:rPr>
                <w:rFonts w:ascii="Calibri" w:hAnsi="Calibri" w:cs="Calibri"/>
              </w:rPr>
            </w:pPr>
          </w:p>
        </w:tc>
        <w:tc>
          <w:tcPr>
            <w:tcW w:w="6120" w:type="dxa"/>
            <w:shd w:val="clear" w:color="auto" w:fill="auto"/>
          </w:tcPr>
          <w:p w14:paraId="0FE53730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</w:rPr>
            </w:pPr>
            <w:r w:rsidRPr="0077766A">
              <w:rPr>
                <w:rFonts w:ascii="Calibri" w:hAnsi="Calibri" w:cs="Calibri"/>
              </w:rPr>
              <w:t>InvestmentFundReportRequestV02</w:t>
            </w:r>
          </w:p>
        </w:tc>
        <w:tc>
          <w:tcPr>
            <w:tcW w:w="1596" w:type="dxa"/>
            <w:shd w:val="clear" w:color="auto" w:fill="auto"/>
            <w:vAlign w:val="bottom"/>
          </w:tcPr>
          <w:p w14:paraId="6782E5E8" w14:textId="77777777" w:rsidR="00C16FF8" w:rsidRPr="0077766A" w:rsidRDefault="00C16FF8" w:rsidP="008814B8">
            <w:pPr>
              <w:spacing w:before="20" w:after="20"/>
              <w:rPr>
                <w:rFonts w:ascii="Calibri" w:hAnsi="Calibri" w:cs="Calibri"/>
                <w:bCs/>
              </w:rPr>
            </w:pPr>
            <w:r w:rsidRPr="0077766A">
              <w:rPr>
                <w:rFonts w:ascii="Calibri" w:hAnsi="Calibri" w:cs="Calibri"/>
                <w:bCs/>
              </w:rPr>
              <w:t>reda.005.001.02</w:t>
            </w:r>
          </w:p>
        </w:tc>
      </w:tr>
    </w:tbl>
    <w:p w14:paraId="527D34DA" w14:textId="77777777" w:rsidR="00854FA6" w:rsidRPr="00605941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28617B65" w14:textId="77777777" w:rsidR="00605941" w:rsidRPr="00CD62BC" w:rsidRDefault="00605941" w:rsidP="00605941">
      <w:pPr>
        <w:rPr>
          <w:rFonts w:cs="Arial"/>
          <w:color w:val="000000"/>
        </w:rPr>
      </w:pPr>
      <w:r w:rsidRPr="00CD62BC">
        <w:rPr>
          <w:rFonts w:cs="Arial"/>
          <w:color w:val="000000"/>
        </w:rPr>
        <w:t>Replacement of XOR construction with a choice component for the following:</w:t>
      </w:r>
    </w:p>
    <w:p w14:paraId="3EC79042" w14:textId="77777777" w:rsidR="00605941" w:rsidRPr="000222EC" w:rsidRDefault="00605941" w:rsidP="00605941">
      <w:pPr>
        <w:rPr>
          <w:rFonts w:cs="Arial"/>
          <w:b/>
          <w:color w:val="000000"/>
        </w:rPr>
      </w:pPr>
      <w:r w:rsidRPr="000222EC">
        <w:rPr>
          <w:rFonts w:cs="Arial"/>
          <w:b/>
          <w:color w:val="000000"/>
        </w:rPr>
        <w:t>[1]</w:t>
      </w:r>
      <w:r w:rsidRPr="000222EC"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>Price Report reda.001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060"/>
        <w:gridCol w:w="3780"/>
        <w:gridCol w:w="1710"/>
      </w:tblGrid>
      <w:tr w:rsidR="000A0080" w:rsidRPr="003D7978" w14:paraId="4B367FF7" w14:textId="77777777" w:rsidTr="000A0080">
        <w:trPr>
          <w:tblHeader/>
        </w:trPr>
        <w:tc>
          <w:tcPr>
            <w:tcW w:w="630" w:type="dxa"/>
            <w:shd w:val="clear" w:color="auto" w:fill="FFFFCC"/>
          </w:tcPr>
          <w:p w14:paraId="08F60128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D797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#</w:t>
            </w:r>
          </w:p>
        </w:tc>
        <w:tc>
          <w:tcPr>
            <w:tcW w:w="3060" w:type="dxa"/>
            <w:shd w:val="clear" w:color="auto" w:fill="FFFFCC"/>
          </w:tcPr>
          <w:p w14:paraId="60971274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FFFFCC"/>
          </w:tcPr>
          <w:p w14:paraId="1EABCB74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D797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Elements in the XOR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or comment</w:t>
            </w:r>
          </w:p>
        </w:tc>
        <w:tc>
          <w:tcPr>
            <w:tcW w:w="1710" w:type="dxa"/>
            <w:shd w:val="clear" w:color="auto" w:fill="FFFFCC"/>
          </w:tcPr>
          <w:p w14:paraId="3FA8D66A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Note</w:t>
            </w:r>
          </w:p>
        </w:tc>
      </w:tr>
      <w:tr w:rsidR="000A0080" w:rsidRPr="003D7978" w14:paraId="438DA738" w14:textId="77777777" w:rsidTr="000A0080">
        <w:tc>
          <w:tcPr>
            <w:tcW w:w="630" w:type="dxa"/>
            <w:shd w:val="clear" w:color="auto" w:fill="auto"/>
          </w:tcPr>
          <w:p w14:paraId="04D8104F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7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60" w:type="dxa"/>
            <w:shd w:val="clear" w:color="auto" w:fill="auto"/>
          </w:tcPr>
          <w:p w14:paraId="6FF6578D" w14:textId="77777777" w:rsidR="000A0080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Price Valuation Details / Price Details </w:t>
            </w:r>
          </w:p>
          <w:p w14:paraId="5889A68B" w14:textId="77777777" w:rsidR="000A0080" w:rsidRPr="00AF041A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14:paraId="33C7191C" w14:textId="77777777" w:rsidR="000A0080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Type </w:t>
            </w:r>
          </w:p>
          <w:p w14:paraId="781B0F40" w14:textId="77777777" w:rsidR="000A0080" w:rsidRPr="00AF041A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Extended Type</w:t>
            </w:r>
          </w:p>
        </w:tc>
        <w:tc>
          <w:tcPr>
            <w:tcW w:w="1710" w:type="dxa"/>
            <w:shd w:val="clear" w:color="auto" w:fill="auto"/>
          </w:tcPr>
          <w:p w14:paraId="4125006A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78">
              <w:rPr>
                <w:rFonts w:ascii="Calibri" w:hAnsi="Calibri" w:cs="Calibri"/>
                <w:color w:val="000000"/>
                <w:sz w:val="18"/>
                <w:szCs w:val="18"/>
              </w:rPr>
              <w:t>+ replace ‘extended’ by Proprietary</w:t>
            </w:r>
          </w:p>
        </w:tc>
      </w:tr>
      <w:tr w:rsidR="000A0080" w:rsidRPr="003D7978" w14:paraId="5FEB9B64" w14:textId="77777777" w:rsidTr="000A0080">
        <w:tc>
          <w:tcPr>
            <w:tcW w:w="630" w:type="dxa"/>
            <w:shd w:val="clear" w:color="auto" w:fill="auto"/>
          </w:tcPr>
          <w:p w14:paraId="2C54D87A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14:paraId="4E017E96" w14:textId="77777777" w:rsidR="000A0080" w:rsidRDefault="000A0080" w:rsidP="00605941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Price Valuation Details / Price Details </w:t>
            </w:r>
          </w:p>
          <w:p w14:paraId="2A621829" w14:textId="77777777" w:rsidR="000A0080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14:paraId="1045A44E" w14:textId="77777777" w:rsidR="000A0080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605941">
              <w:rPr>
                <w:rFonts w:ascii="Calibri" w:hAnsi="Calibri" w:cs="Calibri"/>
                <w:sz w:val="18"/>
                <w:szCs w:val="18"/>
              </w:rPr>
              <w:t>TaxableIncomePerShareCalculated</w:t>
            </w:r>
          </w:p>
          <w:p w14:paraId="5ABCFBC8" w14:textId="77777777" w:rsidR="000A0080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605941">
              <w:rPr>
                <w:rFonts w:ascii="Calibri" w:hAnsi="Calibri" w:cs="Calibri"/>
                <w:sz w:val="18"/>
                <w:szCs w:val="18"/>
              </w:rPr>
              <w:t>ExtendedTaxableIncomePerShareCalculated</w:t>
            </w:r>
          </w:p>
        </w:tc>
        <w:tc>
          <w:tcPr>
            <w:tcW w:w="1710" w:type="dxa"/>
            <w:shd w:val="clear" w:color="auto" w:fill="auto"/>
          </w:tcPr>
          <w:p w14:paraId="1F141162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78">
              <w:rPr>
                <w:rFonts w:ascii="Calibri" w:hAnsi="Calibri" w:cs="Calibri"/>
                <w:color w:val="000000"/>
                <w:sz w:val="18"/>
                <w:szCs w:val="18"/>
              </w:rPr>
              <w:t>+ replace ‘extended’ by Proprietary</w:t>
            </w:r>
          </w:p>
        </w:tc>
      </w:tr>
      <w:tr w:rsidR="000A0080" w:rsidRPr="003D7978" w14:paraId="71447AA3" w14:textId="77777777" w:rsidTr="000A0080">
        <w:tc>
          <w:tcPr>
            <w:tcW w:w="630" w:type="dxa"/>
            <w:shd w:val="clear" w:color="auto" w:fill="auto"/>
          </w:tcPr>
          <w:p w14:paraId="6CB52D68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60" w:type="dxa"/>
            <w:shd w:val="clear" w:color="auto" w:fill="auto"/>
          </w:tcPr>
          <w:p w14:paraId="7D9BE610" w14:textId="77777777" w:rsidR="000A0080" w:rsidRDefault="000A0080" w:rsidP="00605941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Price Valuation Details / Price Details </w:t>
            </w:r>
          </w:p>
          <w:p w14:paraId="60D5FA9B" w14:textId="77777777" w:rsidR="000A0080" w:rsidRDefault="000A0080" w:rsidP="00605941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14:paraId="0BFC03D3" w14:textId="77777777" w:rsidR="000A0080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605941">
              <w:rPr>
                <w:rFonts w:ascii="Calibri" w:hAnsi="Calibri" w:cs="Calibri"/>
                <w:sz w:val="18"/>
                <w:szCs w:val="18"/>
              </w:rPr>
              <w:t>EUDividendStatus</w:t>
            </w:r>
          </w:p>
          <w:p w14:paraId="5E2B5E43" w14:textId="77777777" w:rsidR="000A0080" w:rsidRPr="00605941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605941">
              <w:rPr>
                <w:rFonts w:ascii="Calibri" w:hAnsi="Calibri" w:cs="Calibri"/>
                <w:sz w:val="18"/>
                <w:szCs w:val="18"/>
              </w:rPr>
              <w:t>ExtendedEUDividendStatus</w:t>
            </w:r>
          </w:p>
        </w:tc>
        <w:tc>
          <w:tcPr>
            <w:tcW w:w="1710" w:type="dxa"/>
            <w:shd w:val="clear" w:color="auto" w:fill="auto"/>
          </w:tcPr>
          <w:p w14:paraId="40CC1B6A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78">
              <w:rPr>
                <w:rFonts w:ascii="Calibri" w:hAnsi="Calibri" w:cs="Calibri"/>
                <w:color w:val="000000"/>
                <w:sz w:val="18"/>
                <w:szCs w:val="18"/>
              </w:rPr>
              <w:t>+ replace ‘extended’ by Proprietary</w:t>
            </w:r>
          </w:p>
        </w:tc>
      </w:tr>
      <w:tr w:rsidR="000A0080" w:rsidRPr="003D7978" w14:paraId="256F8B22" w14:textId="77777777" w:rsidTr="000A0080">
        <w:tc>
          <w:tcPr>
            <w:tcW w:w="630" w:type="dxa"/>
            <w:shd w:val="clear" w:color="auto" w:fill="auto"/>
          </w:tcPr>
          <w:p w14:paraId="6B21A3D7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14:paraId="04976D37" w14:textId="77777777" w:rsidR="000A0080" w:rsidRDefault="000A0080" w:rsidP="00605941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Price Valuation Details / Price Details /</w:t>
            </w:r>
          </w:p>
          <w:p w14:paraId="40457F11" w14:textId="77777777" w:rsidR="000A0080" w:rsidRDefault="000A0080" w:rsidP="00605941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Charge Details </w:t>
            </w:r>
          </w:p>
        </w:tc>
        <w:tc>
          <w:tcPr>
            <w:tcW w:w="3780" w:type="dxa"/>
            <w:shd w:val="clear" w:color="auto" w:fill="auto"/>
          </w:tcPr>
          <w:p w14:paraId="45288FD5" w14:textId="77777777" w:rsidR="000A0080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Type </w:t>
            </w:r>
          </w:p>
          <w:p w14:paraId="4022C45B" w14:textId="77777777" w:rsidR="000A0080" w:rsidRPr="00AF041A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Extended Type</w:t>
            </w:r>
          </w:p>
        </w:tc>
        <w:tc>
          <w:tcPr>
            <w:tcW w:w="1710" w:type="dxa"/>
            <w:shd w:val="clear" w:color="auto" w:fill="auto"/>
          </w:tcPr>
          <w:p w14:paraId="10D3B911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78">
              <w:rPr>
                <w:rFonts w:ascii="Calibri" w:hAnsi="Calibri" w:cs="Calibri"/>
                <w:color w:val="000000"/>
                <w:sz w:val="18"/>
                <w:szCs w:val="18"/>
              </w:rPr>
              <w:t>+ replace ‘extended’ by Proprietary</w:t>
            </w:r>
          </w:p>
        </w:tc>
      </w:tr>
      <w:tr w:rsidR="000A0080" w:rsidRPr="003D7978" w14:paraId="483956ED" w14:textId="77777777" w:rsidTr="000A0080">
        <w:tc>
          <w:tcPr>
            <w:tcW w:w="630" w:type="dxa"/>
            <w:shd w:val="clear" w:color="auto" w:fill="auto"/>
          </w:tcPr>
          <w:p w14:paraId="4339558B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14:paraId="09938633" w14:textId="77777777" w:rsidR="000A0080" w:rsidRDefault="000A0080" w:rsidP="00605941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Price Valuation Details / Price Details /</w:t>
            </w:r>
          </w:p>
          <w:p w14:paraId="7B8FF7B0" w14:textId="77777777" w:rsidR="000A0080" w:rsidRDefault="000A0080" w:rsidP="00605941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Charge Details</w:t>
            </w:r>
          </w:p>
        </w:tc>
        <w:tc>
          <w:tcPr>
            <w:tcW w:w="3780" w:type="dxa"/>
            <w:shd w:val="clear" w:color="auto" w:fill="auto"/>
          </w:tcPr>
          <w:p w14:paraId="5D1E1EBC" w14:textId="77777777" w:rsidR="000A0080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Amount</w:t>
            </w:r>
          </w:p>
          <w:p w14:paraId="678DFF9D" w14:textId="77777777" w:rsidR="000A0080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Rate</w:t>
            </w:r>
          </w:p>
        </w:tc>
        <w:tc>
          <w:tcPr>
            <w:tcW w:w="1710" w:type="dxa"/>
            <w:shd w:val="clear" w:color="auto" w:fill="auto"/>
          </w:tcPr>
          <w:p w14:paraId="4D942AC3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0A0080" w:rsidRPr="003D7978" w14:paraId="789C155F" w14:textId="77777777" w:rsidTr="000A0080">
        <w:tc>
          <w:tcPr>
            <w:tcW w:w="630" w:type="dxa"/>
            <w:shd w:val="clear" w:color="auto" w:fill="auto"/>
          </w:tcPr>
          <w:p w14:paraId="5AC8A500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14:paraId="5E6EE836" w14:textId="77777777" w:rsidR="000A0080" w:rsidRDefault="000A0080" w:rsidP="00605941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Price Valuation Details / Price Details /</w:t>
            </w:r>
          </w:p>
          <w:p w14:paraId="5FCF3914" w14:textId="77777777" w:rsidR="000A0080" w:rsidRDefault="000A0080" w:rsidP="00605941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Charge Details</w:t>
            </w:r>
          </w:p>
        </w:tc>
        <w:tc>
          <w:tcPr>
            <w:tcW w:w="3780" w:type="dxa"/>
            <w:shd w:val="clear" w:color="auto" w:fill="auto"/>
          </w:tcPr>
          <w:p w14:paraId="2BCDAFD3" w14:textId="77777777" w:rsidR="000A0080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Calculation Basis</w:t>
            </w:r>
          </w:p>
          <w:p w14:paraId="0CDEF94A" w14:textId="77777777" w:rsidR="000A0080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Extended Calculation Basis</w:t>
            </w:r>
          </w:p>
        </w:tc>
        <w:tc>
          <w:tcPr>
            <w:tcW w:w="1710" w:type="dxa"/>
            <w:shd w:val="clear" w:color="auto" w:fill="auto"/>
          </w:tcPr>
          <w:p w14:paraId="610E31DF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78">
              <w:rPr>
                <w:rFonts w:ascii="Calibri" w:hAnsi="Calibri" w:cs="Calibri"/>
                <w:color w:val="000000"/>
                <w:sz w:val="18"/>
                <w:szCs w:val="18"/>
              </w:rPr>
              <w:t>+ replace ‘extended’ by Proprietary</w:t>
            </w:r>
          </w:p>
        </w:tc>
      </w:tr>
      <w:tr w:rsidR="000A0080" w:rsidRPr="003D7978" w14:paraId="4F86ECA8" w14:textId="77777777" w:rsidTr="000A0080">
        <w:tc>
          <w:tcPr>
            <w:tcW w:w="630" w:type="dxa"/>
            <w:shd w:val="clear" w:color="auto" w:fill="auto"/>
          </w:tcPr>
          <w:p w14:paraId="16ECC3CB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14:paraId="141FF3FA" w14:textId="77777777" w:rsidR="000A0080" w:rsidRDefault="000A0080" w:rsidP="00605941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Price Valuation Details / Price Details /</w:t>
            </w:r>
          </w:p>
          <w:p w14:paraId="28DF7E43" w14:textId="77777777" w:rsidR="000A0080" w:rsidRDefault="000A0080" w:rsidP="00605941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Tax Liability Details</w:t>
            </w:r>
          </w:p>
        </w:tc>
        <w:tc>
          <w:tcPr>
            <w:tcW w:w="3780" w:type="dxa"/>
            <w:shd w:val="clear" w:color="auto" w:fill="auto"/>
          </w:tcPr>
          <w:p w14:paraId="20FB8BE9" w14:textId="77777777" w:rsidR="000A0080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Type </w:t>
            </w:r>
          </w:p>
          <w:p w14:paraId="6D332CA1" w14:textId="77777777" w:rsidR="000A0080" w:rsidRPr="00AF041A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Extended Type</w:t>
            </w:r>
          </w:p>
        </w:tc>
        <w:tc>
          <w:tcPr>
            <w:tcW w:w="1710" w:type="dxa"/>
            <w:shd w:val="clear" w:color="auto" w:fill="auto"/>
          </w:tcPr>
          <w:p w14:paraId="5F440529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78">
              <w:rPr>
                <w:rFonts w:ascii="Calibri" w:hAnsi="Calibri" w:cs="Calibri"/>
                <w:color w:val="000000"/>
                <w:sz w:val="18"/>
                <w:szCs w:val="18"/>
              </w:rPr>
              <w:t>+ replace ‘extended’ by Proprietary</w:t>
            </w:r>
          </w:p>
        </w:tc>
      </w:tr>
      <w:tr w:rsidR="000A0080" w:rsidRPr="003D7978" w14:paraId="21BCF826" w14:textId="77777777" w:rsidTr="000A0080">
        <w:tc>
          <w:tcPr>
            <w:tcW w:w="630" w:type="dxa"/>
            <w:shd w:val="clear" w:color="auto" w:fill="auto"/>
          </w:tcPr>
          <w:p w14:paraId="0631BF0E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60" w:type="dxa"/>
            <w:shd w:val="clear" w:color="auto" w:fill="auto"/>
          </w:tcPr>
          <w:p w14:paraId="3D7B1D48" w14:textId="77777777" w:rsidR="000A0080" w:rsidRDefault="000A0080" w:rsidP="00605941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Price Valuation Details / Price Details /</w:t>
            </w:r>
          </w:p>
          <w:p w14:paraId="371F188A" w14:textId="77777777" w:rsidR="000A0080" w:rsidRDefault="000A0080" w:rsidP="00605941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Tax Liability Details / Tax Calculation Details </w:t>
            </w:r>
          </w:p>
        </w:tc>
        <w:tc>
          <w:tcPr>
            <w:tcW w:w="3780" w:type="dxa"/>
            <w:shd w:val="clear" w:color="auto" w:fill="auto"/>
          </w:tcPr>
          <w:p w14:paraId="3EFD479D" w14:textId="77777777" w:rsidR="000A0080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605941">
              <w:rPr>
                <w:rFonts w:ascii="Calibri" w:hAnsi="Calibri" w:cs="Calibri"/>
                <w:sz w:val="18"/>
                <w:szCs w:val="18"/>
              </w:rPr>
              <w:t>EUCapitalGain</w:t>
            </w:r>
          </w:p>
          <w:p w14:paraId="15B137F1" w14:textId="77777777" w:rsidR="000A0080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605941">
              <w:rPr>
                <w:rFonts w:ascii="Calibri" w:hAnsi="Calibri" w:cs="Calibri"/>
                <w:sz w:val="18"/>
                <w:szCs w:val="18"/>
              </w:rPr>
              <w:t>ExtendedEUCapitalGain</w:t>
            </w:r>
          </w:p>
        </w:tc>
        <w:tc>
          <w:tcPr>
            <w:tcW w:w="1710" w:type="dxa"/>
            <w:shd w:val="clear" w:color="auto" w:fill="auto"/>
          </w:tcPr>
          <w:p w14:paraId="4ABBCD3A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78">
              <w:rPr>
                <w:rFonts w:ascii="Calibri" w:hAnsi="Calibri" w:cs="Calibri"/>
                <w:color w:val="000000"/>
                <w:sz w:val="18"/>
                <w:szCs w:val="18"/>
              </w:rPr>
              <w:t>+ replace ‘extended’ by Proprietary</w:t>
            </w:r>
          </w:p>
        </w:tc>
      </w:tr>
      <w:tr w:rsidR="000A0080" w:rsidRPr="003D7978" w14:paraId="2F8C3977" w14:textId="77777777" w:rsidTr="000A0080">
        <w:tc>
          <w:tcPr>
            <w:tcW w:w="630" w:type="dxa"/>
            <w:shd w:val="clear" w:color="auto" w:fill="auto"/>
          </w:tcPr>
          <w:p w14:paraId="6988879E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60" w:type="dxa"/>
            <w:shd w:val="clear" w:color="auto" w:fill="auto"/>
          </w:tcPr>
          <w:p w14:paraId="35C7B2FB" w14:textId="77777777" w:rsidR="000A0080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Price Valuation Details / Price Details /</w:t>
            </w:r>
          </w:p>
          <w:p w14:paraId="492A2751" w14:textId="77777777" w:rsidR="000A0080" w:rsidRDefault="000A0080" w:rsidP="00605941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Tax Refund Details</w:t>
            </w:r>
          </w:p>
        </w:tc>
        <w:tc>
          <w:tcPr>
            <w:tcW w:w="3780" w:type="dxa"/>
            <w:shd w:val="clear" w:color="auto" w:fill="auto"/>
          </w:tcPr>
          <w:p w14:paraId="713329FC" w14:textId="77777777" w:rsidR="000A0080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Type </w:t>
            </w:r>
          </w:p>
          <w:p w14:paraId="52DEA766" w14:textId="77777777" w:rsidR="000A0080" w:rsidRPr="00AF041A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Extended Type</w:t>
            </w:r>
          </w:p>
        </w:tc>
        <w:tc>
          <w:tcPr>
            <w:tcW w:w="1710" w:type="dxa"/>
            <w:shd w:val="clear" w:color="auto" w:fill="auto"/>
          </w:tcPr>
          <w:p w14:paraId="42C8E1D3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78">
              <w:rPr>
                <w:rFonts w:ascii="Calibri" w:hAnsi="Calibri" w:cs="Calibri"/>
                <w:color w:val="000000"/>
                <w:sz w:val="18"/>
                <w:szCs w:val="18"/>
              </w:rPr>
              <w:t>+ replace ‘extended’ by Proprietary</w:t>
            </w:r>
          </w:p>
        </w:tc>
      </w:tr>
      <w:tr w:rsidR="000A0080" w:rsidRPr="003D7978" w14:paraId="7C341F89" w14:textId="77777777" w:rsidTr="000A0080">
        <w:tc>
          <w:tcPr>
            <w:tcW w:w="630" w:type="dxa"/>
            <w:shd w:val="clear" w:color="auto" w:fill="auto"/>
          </w:tcPr>
          <w:p w14:paraId="31854D98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60" w:type="dxa"/>
            <w:shd w:val="clear" w:color="auto" w:fill="auto"/>
          </w:tcPr>
          <w:p w14:paraId="61FE7F02" w14:textId="77777777" w:rsidR="000A0080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Price Valuation Details / Price Details /</w:t>
            </w:r>
          </w:p>
          <w:p w14:paraId="7B5B51CE" w14:textId="77777777" w:rsidR="000A0080" w:rsidRDefault="000A0080" w:rsidP="00605941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Tax Refund Details / Tax Calculation Details </w:t>
            </w:r>
          </w:p>
        </w:tc>
        <w:tc>
          <w:tcPr>
            <w:tcW w:w="3780" w:type="dxa"/>
            <w:shd w:val="clear" w:color="auto" w:fill="auto"/>
          </w:tcPr>
          <w:p w14:paraId="795E431E" w14:textId="77777777" w:rsidR="000A0080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605941">
              <w:rPr>
                <w:rFonts w:ascii="Calibri" w:hAnsi="Calibri" w:cs="Calibri"/>
                <w:sz w:val="18"/>
                <w:szCs w:val="18"/>
              </w:rPr>
              <w:t>EUCapitalGain</w:t>
            </w:r>
          </w:p>
          <w:p w14:paraId="3041DCB2" w14:textId="77777777" w:rsidR="000A0080" w:rsidRDefault="000A0080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605941">
              <w:rPr>
                <w:rFonts w:ascii="Calibri" w:hAnsi="Calibri" w:cs="Calibri"/>
                <w:sz w:val="18"/>
                <w:szCs w:val="18"/>
              </w:rPr>
              <w:t>ExtendedEUCapitalGain</w:t>
            </w:r>
          </w:p>
        </w:tc>
        <w:tc>
          <w:tcPr>
            <w:tcW w:w="1710" w:type="dxa"/>
            <w:shd w:val="clear" w:color="auto" w:fill="auto"/>
          </w:tcPr>
          <w:p w14:paraId="69BC69CF" w14:textId="77777777" w:rsidR="000A0080" w:rsidRPr="003D7978" w:rsidRDefault="000A0080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78">
              <w:rPr>
                <w:rFonts w:ascii="Calibri" w:hAnsi="Calibri" w:cs="Calibri"/>
                <w:color w:val="000000"/>
                <w:sz w:val="18"/>
                <w:szCs w:val="18"/>
              </w:rPr>
              <w:t>+ replace ‘extended’ by Proprietary</w:t>
            </w:r>
          </w:p>
        </w:tc>
      </w:tr>
    </w:tbl>
    <w:p w14:paraId="76AAB5D7" w14:textId="77777777" w:rsidR="00605941" w:rsidRDefault="00605941" w:rsidP="00605941">
      <w:pPr>
        <w:rPr>
          <w:lang w:val="en-GB"/>
        </w:rPr>
      </w:pPr>
    </w:p>
    <w:p w14:paraId="0E0EE8AD" w14:textId="77777777" w:rsidR="000A0080" w:rsidRDefault="000A0080" w:rsidP="000A0080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[2</w:t>
      </w:r>
      <w:r w:rsidRPr="000222EC">
        <w:rPr>
          <w:rFonts w:cs="Arial"/>
          <w:b/>
          <w:color w:val="000000"/>
        </w:rPr>
        <w:t>]</w:t>
      </w:r>
      <w:r w:rsidRPr="000222EC"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>Price Report Cancellation reda.002</w:t>
      </w:r>
    </w:p>
    <w:p w14:paraId="6D00FA27" w14:textId="77777777" w:rsidR="0023669F" w:rsidRPr="0023669F" w:rsidRDefault="0023669F" w:rsidP="0023669F">
      <w:pPr>
        <w:ind w:firstLine="720"/>
        <w:rPr>
          <w:rFonts w:cs="Arial"/>
          <w:color w:val="000000"/>
        </w:rPr>
      </w:pPr>
      <w:r w:rsidRPr="0023669F">
        <w:rPr>
          <w:rFonts w:cs="Arial"/>
          <w:color w:val="000000"/>
        </w:rPr>
        <w:t>Cancelled Price Valuation Details / Price Valuation Details</w:t>
      </w:r>
      <w:r>
        <w:rPr>
          <w:rFonts w:cs="Arial"/>
          <w:color w:val="000000"/>
        </w:rPr>
        <w:t>.</w:t>
      </w:r>
    </w:p>
    <w:p w14:paraId="5989AB0B" w14:textId="77777777" w:rsidR="0023669F" w:rsidRPr="0023669F" w:rsidRDefault="0023669F" w:rsidP="0023669F">
      <w:pPr>
        <w:spacing w:before="20" w:after="20"/>
        <w:ind w:firstLine="720"/>
        <w:rPr>
          <w:rFonts w:cs="Arial"/>
          <w:color w:val="000000"/>
        </w:rPr>
      </w:pPr>
      <w:r w:rsidRPr="0023669F">
        <w:rPr>
          <w:rFonts w:cs="Arial"/>
          <w:color w:val="000000"/>
        </w:rPr>
        <w:t>Re-use the new version of Price Valuation 4  created for amendments to reda.001</w:t>
      </w:r>
    </w:p>
    <w:p w14:paraId="1173AF06" w14:textId="77777777" w:rsidR="0023669F" w:rsidRPr="0023669F" w:rsidRDefault="0023669F" w:rsidP="0023669F">
      <w:pPr>
        <w:ind w:firstLine="720"/>
        <w:rPr>
          <w:rFonts w:cs="Arial"/>
          <w:b/>
          <w:color w:val="000000"/>
        </w:rPr>
      </w:pPr>
    </w:p>
    <w:p w14:paraId="1E0E2D7B" w14:textId="77777777" w:rsidR="006876C0" w:rsidRDefault="00B807AE" w:rsidP="006876C0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[3</w:t>
      </w:r>
      <w:r w:rsidR="006876C0" w:rsidRPr="000222EC">
        <w:rPr>
          <w:rFonts w:cs="Arial"/>
          <w:b/>
          <w:color w:val="000000"/>
        </w:rPr>
        <w:t>]</w:t>
      </w:r>
      <w:r w:rsidR="006876C0" w:rsidRPr="000222EC">
        <w:rPr>
          <w:rFonts w:cs="Arial"/>
          <w:b/>
          <w:color w:val="000000"/>
        </w:rPr>
        <w:tab/>
      </w:r>
      <w:r w:rsidR="006876C0">
        <w:rPr>
          <w:rFonts w:cs="Arial"/>
          <w:b/>
          <w:color w:val="000000"/>
        </w:rPr>
        <w:t>Fund Processing Passport Report  reda.</w:t>
      </w:r>
      <w:r w:rsidR="00256BDD">
        <w:rPr>
          <w:rFonts w:cs="Arial"/>
          <w:b/>
          <w:color w:val="000000"/>
        </w:rPr>
        <w:t>004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330"/>
        <w:gridCol w:w="2970"/>
        <w:gridCol w:w="2250"/>
      </w:tblGrid>
      <w:tr w:rsidR="00256BDD" w:rsidRPr="003D7978" w14:paraId="37DB8C82" w14:textId="77777777" w:rsidTr="00B807AE">
        <w:trPr>
          <w:tblHeader/>
        </w:trPr>
        <w:tc>
          <w:tcPr>
            <w:tcW w:w="630" w:type="dxa"/>
            <w:shd w:val="clear" w:color="auto" w:fill="FFFFCC"/>
          </w:tcPr>
          <w:p w14:paraId="20F39948" w14:textId="77777777" w:rsidR="00256BDD" w:rsidRPr="003D7978" w:rsidRDefault="00256BDD" w:rsidP="008643E4">
            <w:pPr>
              <w:spacing w:before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D797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#</w:t>
            </w:r>
          </w:p>
        </w:tc>
        <w:tc>
          <w:tcPr>
            <w:tcW w:w="3330" w:type="dxa"/>
            <w:shd w:val="clear" w:color="auto" w:fill="FFFFCC"/>
          </w:tcPr>
          <w:p w14:paraId="3C4C3194" w14:textId="77777777" w:rsidR="00256BDD" w:rsidRPr="003D7978" w:rsidRDefault="00256BDD" w:rsidP="008643E4">
            <w:pPr>
              <w:spacing w:before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shd w:val="clear" w:color="auto" w:fill="FFFFCC"/>
          </w:tcPr>
          <w:p w14:paraId="5216CD1C" w14:textId="77777777" w:rsidR="00256BDD" w:rsidRPr="003D7978" w:rsidRDefault="00256BDD" w:rsidP="008643E4">
            <w:pPr>
              <w:spacing w:before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3D797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Elements in the XOR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or comment</w:t>
            </w:r>
          </w:p>
        </w:tc>
        <w:tc>
          <w:tcPr>
            <w:tcW w:w="2250" w:type="dxa"/>
            <w:shd w:val="clear" w:color="auto" w:fill="FFFFCC"/>
          </w:tcPr>
          <w:p w14:paraId="4FC79CEA" w14:textId="77777777" w:rsidR="00256BDD" w:rsidRPr="003D7978" w:rsidRDefault="00256BDD" w:rsidP="008643E4">
            <w:pPr>
              <w:spacing w:before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Note</w:t>
            </w:r>
          </w:p>
        </w:tc>
      </w:tr>
      <w:tr w:rsidR="00256BDD" w:rsidRPr="003D7978" w14:paraId="7FAECE52" w14:textId="77777777" w:rsidTr="00B807AE">
        <w:tc>
          <w:tcPr>
            <w:tcW w:w="630" w:type="dxa"/>
            <w:shd w:val="clear" w:color="auto" w:fill="auto"/>
          </w:tcPr>
          <w:p w14:paraId="7CAA2659" w14:textId="77777777" w:rsidR="00256BDD" w:rsidRPr="003D7978" w:rsidRDefault="00256BDD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7978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30" w:type="dxa"/>
            <w:shd w:val="clear" w:color="auto" w:fill="auto"/>
          </w:tcPr>
          <w:p w14:paraId="268E1D58" w14:textId="77777777" w:rsidR="00256BDD" w:rsidRPr="00AF041A" w:rsidRDefault="00256BDD" w:rsidP="00B807AE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Fund Processing Passport</w:t>
            </w:r>
            <w:r w:rsidR="00B807AE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/ Security Identification (SecurityIdentification1) / Identification (</w:t>
            </w:r>
            <w:r w:rsidR="008B5FA2">
              <w:rPr>
                <w:rFonts w:ascii="Calibri" w:hAnsi="Calibri" w:cs="Calibri"/>
                <w:color w:val="000000"/>
                <w:sz w:val="18"/>
                <w:szCs w:val="18"/>
              </w:rPr>
              <w:t>SecurityIdentitication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7)</w:t>
            </w:r>
          </w:p>
        </w:tc>
        <w:tc>
          <w:tcPr>
            <w:tcW w:w="2970" w:type="dxa"/>
            <w:shd w:val="clear" w:color="auto" w:fill="auto"/>
          </w:tcPr>
          <w:p w14:paraId="350879EF" w14:textId="77777777" w:rsidR="00256BDD" w:rsidRDefault="00256BDD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ISIN</w:t>
            </w:r>
          </w:p>
          <w:p w14:paraId="213A8BCF" w14:textId="77777777" w:rsidR="00256BDD" w:rsidRPr="00AF041A" w:rsidRDefault="00256BDD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Other Identification</w:t>
            </w:r>
          </w:p>
        </w:tc>
        <w:tc>
          <w:tcPr>
            <w:tcW w:w="2250" w:type="dxa"/>
            <w:shd w:val="clear" w:color="auto" w:fill="auto"/>
          </w:tcPr>
          <w:p w14:paraId="5E1250B3" w14:textId="77777777" w:rsidR="00256BDD" w:rsidRPr="003D7978" w:rsidRDefault="00256BDD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B807AE" w:rsidRPr="003D7978" w14:paraId="39695EB4" w14:textId="77777777" w:rsidTr="00B807AE">
        <w:tc>
          <w:tcPr>
            <w:tcW w:w="630" w:type="dxa"/>
            <w:shd w:val="clear" w:color="auto" w:fill="auto"/>
          </w:tcPr>
          <w:p w14:paraId="702E242F" w14:textId="77777777" w:rsidR="00B807AE" w:rsidRPr="003D7978" w:rsidRDefault="0023669F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3330" w:type="dxa"/>
            <w:shd w:val="clear" w:color="auto" w:fill="auto"/>
          </w:tcPr>
          <w:p w14:paraId="352F1DC7" w14:textId="77777777" w:rsidR="00B807AE" w:rsidRDefault="00B807AE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Fund Processing Passport / Security Identification (SecurityIdentification1) / Identification (SecurityIdentitication7) /</w:t>
            </w:r>
          </w:p>
          <w:p w14:paraId="6B963B20" w14:textId="77777777" w:rsidR="00B807AE" w:rsidRDefault="00B807AE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Other Identification (AlternateSecurityIdentification3)</w:t>
            </w:r>
          </w:p>
        </w:tc>
        <w:tc>
          <w:tcPr>
            <w:tcW w:w="2970" w:type="dxa"/>
            <w:shd w:val="clear" w:color="auto" w:fill="auto"/>
          </w:tcPr>
          <w:p w14:paraId="7D6720AD" w14:textId="77777777" w:rsidR="00B807AE" w:rsidRDefault="00B807AE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807AE">
              <w:rPr>
                <w:rFonts w:ascii="Calibri" w:hAnsi="Calibri" w:cs="Calibri"/>
                <w:sz w:val="18"/>
                <w:szCs w:val="18"/>
              </w:rPr>
              <w:t>DomesticIdentificationSource</w:t>
            </w:r>
          </w:p>
          <w:p w14:paraId="785D75F8" w14:textId="77777777" w:rsidR="00B807AE" w:rsidRDefault="00B807AE" w:rsidP="008643E4">
            <w:pPr>
              <w:spacing w:before="0"/>
              <w:rPr>
                <w:rFonts w:ascii="Calibri" w:hAnsi="Calibri" w:cs="Calibri"/>
                <w:sz w:val="18"/>
                <w:szCs w:val="18"/>
              </w:rPr>
            </w:pPr>
            <w:r w:rsidRPr="00B807AE">
              <w:rPr>
                <w:rFonts w:ascii="Calibri" w:hAnsi="Calibri" w:cs="Calibri"/>
                <w:sz w:val="18"/>
                <w:szCs w:val="18"/>
              </w:rPr>
              <w:t>ProprietaryIdentificationSource</w:t>
            </w:r>
          </w:p>
        </w:tc>
        <w:tc>
          <w:tcPr>
            <w:tcW w:w="2250" w:type="dxa"/>
            <w:shd w:val="clear" w:color="auto" w:fill="auto"/>
          </w:tcPr>
          <w:p w14:paraId="3483A54E" w14:textId="77777777" w:rsidR="00B807AE" w:rsidRPr="003D7978" w:rsidRDefault="00B807AE" w:rsidP="008643E4">
            <w:pPr>
              <w:spacing w:before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1A62F02A" w14:textId="77777777" w:rsidR="0080347E" w:rsidRDefault="0080347E" w:rsidP="00B807AE">
      <w:pPr>
        <w:rPr>
          <w:rFonts w:cs="Arial"/>
          <w:b/>
          <w:color w:val="000000"/>
        </w:rPr>
      </w:pPr>
    </w:p>
    <w:p w14:paraId="60A44DC1" w14:textId="77777777" w:rsidR="00B807AE" w:rsidRDefault="00B807AE" w:rsidP="00B807AE">
      <w:pPr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[4</w:t>
      </w:r>
      <w:r w:rsidRPr="000222EC">
        <w:rPr>
          <w:rFonts w:cs="Arial"/>
          <w:b/>
          <w:color w:val="000000"/>
        </w:rPr>
        <w:t>]</w:t>
      </w:r>
      <w:r w:rsidRPr="000222EC">
        <w:rPr>
          <w:rFonts w:cs="Arial"/>
          <w:b/>
          <w:color w:val="000000"/>
        </w:rPr>
        <w:tab/>
      </w:r>
      <w:r>
        <w:rPr>
          <w:rFonts w:cs="Arial"/>
          <w:b/>
          <w:color w:val="000000"/>
        </w:rPr>
        <w:t>Investment Fund Report Request reda.00</w:t>
      </w:r>
      <w:r w:rsidR="0080347E">
        <w:rPr>
          <w:rFonts w:cs="Arial"/>
          <w:b/>
          <w:color w:val="000000"/>
        </w:rPr>
        <w:t>5</w:t>
      </w:r>
    </w:p>
    <w:p w14:paraId="1A47BE6E" w14:textId="77777777" w:rsidR="0023669F" w:rsidRPr="0023669F" w:rsidRDefault="0023669F" w:rsidP="0023669F">
      <w:pPr>
        <w:spacing w:before="20" w:after="20"/>
        <w:ind w:left="720"/>
        <w:rPr>
          <w:rFonts w:cs="Arial"/>
          <w:color w:val="000000"/>
        </w:rPr>
      </w:pPr>
      <w:r w:rsidRPr="0023669F">
        <w:rPr>
          <w:rFonts w:cs="Arial"/>
          <w:color w:val="000000"/>
        </w:rPr>
        <w:t>Fund Processing Passport  Report / Parameters  / Financial Instrument Details  / Identification (Security Identification 7)</w:t>
      </w:r>
    </w:p>
    <w:p w14:paraId="4D614938" w14:textId="77777777" w:rsidR="0023669F" w:rsidRPr="0023669F" w:rsidRDefault="0023669F" w:rsidP="0023669F">
      <w:pPr>
        <w:spacing w:before="20" w:after="20"/>
        <w:ind w:left="720"/>
        <w:rPr>
          <w:rFonts w:cs="Arial"/>
          <w:color w:val="000000"/>
        </w:rPr>
      </w:pPr>
      <w:r w:rsidRPr="0023669F">
        <w:rPr>
          <w:rFonts w:cs="Arial"/>
          <w:color w:val="000000"/>
        </w:rPr>
        <w:t>Re-use the new version of Security Identification 7 created for amendments to reda.004</w:t>
      </w:r>
    </w:p>
    <w:p w14:paraId="2842B938" w14:textId="77777777" w:rsidR="0023669F" w:rsidRDefault="0023669F" w:rsidP="0023669F">
      <w:pPr>
        <w:spacing w:before="20" w:after="20"/>
        <w:ind w:left="720"/>
        <w:rPr>
          <w:rFonts w:cs="Arial"/>
          <w:b/>
          <w:color w:val="000000"/>
        </w:rPr>
      </w:pPr>
    </w:p>
    <w:p w14:paraId="22C864F3" w14:textId="77777777" w:rsidR="005246BE" w:rsidRDefault="005246BE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Purpose of the </w:t>
      </w:r>
      <w:r w:rsidR="00577861">
        <w:rPr>
          <w:b/>
          <w:szCs w:val="24"/>
          <w:lang w:val="en-GB"/>
        </w:rPr>
        <w:t>change</w:t>
      </w:r>
      <w:r>
        <w:rPr>
          <w:b/>
          <w:szCs w:val="24"/>
          <w:lang w:val="en-GB"/>
        </w:rPr>
        <w:t>:</w:t>
      </w:r>
    </w:p>
    <w:p w14:paraId="7CD57C51" w14:textId="77777777" w:rsidR="00605941" w:rsidRPr="00CD62BC" w:rsidRDefault="00DA1172" w:rsidP="00605941">
      <w:pPr>
        <w:rPr>
          <w:rFonts w:cs="Arial"/>
        </w:rPr>
      </w:pPr>
      <w:r>
        <w:t xml:space="preserve">Under the new edition ISO 20022:2013, ‘unnamed’ choices (known as XOR choices) are forbidden and should be replaced by ‘named’ </w:t>
      </w:r>
      <w:proofErr w:type="spellStart"/>
      <w:r>
        <w:t>ChoiceComponents</w:t>
      </w:r>
      <w:proofErr w:type="spellEnd"/>
      <w:r>
        <w:t xml:space="preserve">. </w:t>
      </w:r>
      <w:r w:rsidRPr="002A6399">
        <w:t>Unnamed choices are difficult to implement as they require an implementer to 'invent' a name for the choice.</w:t>
      </w:r>
      <w:r>
        <w:t xml:space="preserve"> </w:t>
      </w:r>
      <w:r w:rsidRPr="002A6399">
        <w:t>Unnamed choices may also be confusing to a user if a choice has to be made without any context as to why the choice is there.</w:t>
      </w:r>
    </w:p>
    <w:p w14:paraId="250F188D" w14:textId="77777777" w:rsidR="00C16FF8" w:rsidRDefault="00605941" w:rsidP="00605941">
      <w:pPr>
        <w:rPr>
          <w:rFonts w:cs="Arial"/>
        </w:rPr>
      </w:pPr>
      <w:r w:rsidRPr="00CD62BC">
        <w:rPr>
          <w:rFonts w:cs="Arial"/>
        </w:rPr>
        <w:t xml:space="preserve">The replacement of Extended to Proprietary is </w:t>
      </w:r>
      <w:r w:rsidR="00DA1172">
        <w:rPr>
          <w:rFonts w:cs="Arial"/>
        </w:rPr>
        <w:t xml:space="preserve">also </w:t>
      </w:r>
      <w:r w:rsidRPr="00CD62BC">
        <w:rPr>
          <w:rFonts w:cs="Arial"/>
        </w:rPr>
        <w:t>a requirement for ISO 20022.</w:t>
      </w:r>
    </w:p>
    <w:p w14:paraId="4F2DAD11" w14:textId="77777777" w:rsidR="00084BFC" w:rsidRDefault="00084BFC" w:rsidP="00605941"/>
    <w:p w14:paraId="265548D5" w14:textId="77777777" w:rsidR="00CB683A" w:rsidRPr="00C16FF8" w:rsidRDefault="00AA5E76" w:rsidP="00F34C66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30D7DD2F" w14:textId="77777777" w:rsidR="00605941" w:rsidRPr="00605941" w:rsidRDefault="00605941" w:rsidP="00605941">
      <w:pPr>
        <w:rPr>
          <w:rFonts w:cs="Arial"/>
          <w:lang w:val="en-GB"/>
        </w:rPr>
      </w:pPr>
      <w:r w:rsidRPr="00605941">
        <w:rPr>
          <w:rFonts w:cs="Arial"/>
          <w:lang w:val="en-GB"/>
        </w:rPr>
        <w:t xml:space="preserve">Next yearly </w:t>
      </w:r>
      <w:r w:rsidR="00C55D5E" w:rsidRPr="00995C0C">
        <w:rPr>
          <w:rFonts w:cs="Arial"/>
          <w:lang w:val="en-GB"/>
        </w:rPr>
        <w:t>maintenance</w:t>
      </w:r>
      <w:r w:rsidR="00C55D5E" w:rsidRPr="00605941">
        <w:rPr>
          <w:rFonts w:cs="Arial"/>
          <w:lang w:val="en-GB"/>
        </w:rPr>
        <w:t xml:space="preserve"> </w:t>
      </w:r>
      <w:r w:rsidRPr="00605941">
        <w:rPr>
          <w:rFonts w:cs="Arial"/>
          <w:lang w:val="en-GB"/>
        </w:rPr>
        <w:t>cycle (2014/2015).</w:t>
      </w:r>
    </w:p>
    <w:p w14:paraId="644D2AB0" w14:textId="77777777" w:rsidR="00605941" w:rsidRPr="00084BFC" w:rsidRDefault="00605941" w:rsidP="00605941">
      <w:pPr>
        <w:rPr>
          <w:rFonts w:cs="Arial"/>
          <w:i/>
          <w:lang w:val="en-GB"/>
        </w:rPr>
      </w:pPr>
      <w:r w:rsidRPr="00084BFC">
        <w:rPr>
          <w:rFonts w:cs="Arial"/>
          <w:i/>
          <w:lang w:val="en-GB"/>
        </w:rPr>
        <w:t>It was originally planned that this k</w:t>
      </w:r>
      <w:r w:rsidR="00DA1172">
        <w:rPr>
          <w:rFonts w:cs="Arial"/>
          <w:i/>
          <w:lang w:val="en-GB"/>
        </w:rPr>
        <w:t>ind of change would be done in a later</w:t>
      </w:r>
      <w:r w:rsidRPr="00084BFC">
        <w:rPr>
          <w:rFonts w:cs="Arial"/>
          <w:i/>
          <w:lang w:val="en-GB"/>
        </w:rPr>
        <w:t xml:space="preserve"> maintenance cycle. However, it would actually be better on resources for SEG </w:t>
      </w:r>
      <w:r w:rsidR="00CE3C44">
        <w:rPr>
          <w:rFonts w:cs="Arial"/>
          <w:i/>
          <w:lang w:val="en-GB"/>
        </w:rPr>
        <w:t xml:space="preserve">Investment Funds </w:t>
      </w:r>
      <w:r w:rsidR="00CE3C44" w:rsidRPr="00CD62BC">
        <w:rPr>
          <w:rFonts w:cs="Arial"/>
          <w:i/>
          <w:lang w:val="en-GB"/>
        </w:rPr>
        <w:t>E</w:t>
      </w:r>
      <w:r w:rsidR="00CE3C44">
        <w:rPr>
          <w:rFonts w:cs="Arial"/>
          <w:i/>
          <w:lang w:val="en-GB"/>
        </w:rPr>
        <w:t xml:space="preserve">valuation </w:t>
      </w:r>
      <w:r w:rsidR="00CE3C44" w:rsidRPr="00CD62BC">
        <w:rPr>
          <w:rFonts w:cs="Arial"/>
          <w:i/>
          <w:lang w:val="en-GB"/>
        </w:rPr>
        <w:t>T</w:t>
      </w:r>
      <w:r w:rsidR="00CE3C44">
        <w:rPr>
          <w:rFonts w:cs="Arial"/>
          <w:i/>
          <w:lang w:val="en-GB"/>
        </w:rPr>
        <w:t>eam</w:t>
      </w:r>
      <w:r w:rsidRPr="00084BFC">
        <w:rPr>
          <w:rFonts w:cs="Arial"/>
          <w:i/>
          <w:lang w:val="en-GB"/>
        </w:rPr>
        <w:t xml:space="preserve"> and </w:t>
      </w:r>
      <w:r w:rsidR="00CE3C44">
        <w:rPr>
          <w:rFonts w:cs="Arial"/>
          <w:i/>
          <w:lang w:val="en-GB"/>
        </w:rPr>
        <w:t xml:space="preserve">the </w:t>
      </w:r>
      <w:r w:rsidR="00DA1172">
        <w:rPr>
          <w:rFonts w:cs="Arial"/>
          <w:i/>
          <w:lang w:val="en-GB"/>
        </w:rPr>
        <w:t>organisation</w:t>
      </w:r>
      <w:r w:rsidRPr="00084BFC">
        <w:rPr>
          <w:rFonts w:cs="Arial"/>
          <w:i/>
          <w:lang w:val="en-GB"/>
        </w:rPr>
        <w:t xml:space="preserve"> responsible for carrying out the maintenance to do this technical modification in the next maintenance cycle, that is 2014/2015</w:t>
      </w:r>
      <w:r w:rsidR="00CE3C44">
        <w:rPr>
          <w:rFonts w:cs="Arial"/>
          <w:i/>
          <w:lang w:val="en-GB"/>
        </w:rPr>
        <w:t xml:space="preserve">. </w:t>
      </w:r>
      <w:r w:rsidR="00CE3C44" w:rsidRPr="00CE3C44">
        <w:rPr>
          <w:rFonts w:cs="Arial"/>
          <w:i/>
          <w:lang w:val="en-GB"/>
        </w:rPr>
        <w:t xml:space="preserve">It also makes sense to carry out this change whilst adoption rates </w:t>
      </w:r>
      <w:r w:rsidR="002A0290">
        <w:rPr>
          <w:rFonts w:cs="Arial"/>
          <w:i/>
          <w:lang w:val="en-GB"/>
        </w:rPr>
        <w:t xml:space="preserve">of these messages </w:t>
      </w:r>
      <w:r w:rsidR="00CE3C44" w:rsidRPr="00CE3C44">
        <w:rPr>
          <w:rFonts w:cs="Arial"/>
          <w:i/>
          <w:lang w:val="en-GB"/>
        </w:rPr>
        <w:t xml:space="preserve">are still low so as to minimise </w:t>
      </w:r>
      <w:r w:rsidR="00C329B7">
        <w:rPr>
          <w:rFonts w:cs="Arial"/>
          <w:i/>
          <w:lang w:val="en-GB"/>
        </w:rPr>
        <w:t xml:space="preserve">the </w:t>
      </w:r>
      <w:r w:rsidR="00CE3C44" w:rsidRPr="00CE3C44">
        <w:rPr>
          <w:rFonts w:cs="Arial"/>
          <w:i/>
          <w:lang w:val="en-GB"/>
        </w:rPr>
        <w:t>impact on the number of users impacted.</w:t>
      </w:r>
    </w:p>
    <w:p w14:paraId="7F6BA13D" w14:textId="77777777" w:rsidR="00605941" w:rsidRDefault="00605941" w:rsidP="00605941">
      <w:pPr>
        <w:rPr>
          <w:rFonts w:cs="Arial"/>
          <w:lang w:val="en-GB"/>
        </w:rPr>
      </w:pPr>
    </w:p>
    <w:p w14:paraId="5F15924D" w14:textId="77777777" w:rsidR="00783891" w:rsidRDefault="00FF4AEF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599A789A" w14:textId="77777777" w:rsidR="00DA1172" w:rsidRDefault="00C16FF8" w:rsidP="008814B8">
      <w:pPr>
        <w:rPr>
          <w:rFonts w:cs="Arial"/>
          <w:lang w:val="en-GB"/>
        </w:rPr>
      </w:pPr>
      <w:r>
        <w:rPr>
          <w:rFonts w:cs="Arial"/>
          <w:lang w:val="en-GB"/>
        </w:rPr>
        <w:t>None</w:t>
      </w:r>
    </w:p>
    <w:p w14:paraId="1611839D" w14:textId="77777777" w:rsidR="008814B8" w:rsidRDefault="00DA1172" w:rsidP="008814B8">
      <w:pPr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14:paraId="38F2E571" w14:textId="77777777" w:rsidR="008814B8" w:rsidRDefault="008814B8" w:rsidP="008814B8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SEG recommendation:</w:t>
      </w:r>
    </w:p>
    <w:p w14:paraId="5958FDDC" w14:textId="77777777" w:rsidR="00C40729" w:rsidRDefault="00C40729" w:rsidP="00C41DDB">
      <w:pPr>
        <w:rPr>
          <w:i/>
          <w:szCs w:val="24"/>
          <w:lang w:val="en-GB"/>
        </w:rPr>
      </w:pP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567"/>
        <w:gridCol w:w="1701"/>
        <w:gridCol w:w="4253"/>
        <w:gridCol w:w="425"/>
        <w:gridCol w:w="945"/>
      </w:tblGrid>
      <w:tr w:rsidR="00C40729" w:rsidRPr="006D7FF8" w14:paraId="4C4FA465" w14:textId="77777777" w:rsidTr="00130EB9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460FCAA5" w14:textId="77777777" w:rsidR="00C40729" w:rsidRPr="00E3221E" w:rsidRDefault="00C40729" w:rsidP="00084BFC">
            <w:pPr>
              <w:spacing w:before="40" w:after="40"/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Consider</w:t>
            </w:r>
          </w:p>
        </w:tc>
        <w:tc>
          <w:tcPr>
            <w:tcW w:w="567" w:type="dxa"/>
          </w:tcPr>
          <w:p w14:paraId="66DE0118" w14:textId="77777777" w:rsidR="00C40729" w:rsidRPr="00AD7CD5" w:rsidRDefault="00CF6AB8" w:rsidP="00084BFC">
            <w:pPr>
              <w:spacing w:before="40" w:after="40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6DDCD7CC" w14:textId="77777777" w:rsidR="00C40729" w:rsidRPr="00E3221E" w:rsidRDefault="00C40729" w:rsidP="00084BFC">
            <w:pPr>
              <w:spacing w:before="40" w:after="40"/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130EB9" w:rsidRPr="006D7FF8" w14:paraId="7B3D0E33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left w:val="nil"/>
              <w:bottom w:val="nil"/>
            </w:tcBorders>
          </w:tcPr>
          <w:p w14:paraId="26629720" w14:textId="77777777" w:rsidR="00130EB9" w:rsidRDefault="00130EB9" w:rsidP="00084BFC">
            <w:pPr>
              <w:spacing w:before="40" w:after="4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2F4C77B3" w14:textId="77777777" w:rsidR="00130EB9" w:rsidRDefault="00130EB9" w:rsidP="00084BFC">
            <w:pPr>
              <w:spacing w:before="40" w:after="4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Next yearly cycle</w:t>
            </w:r>
            <w:r w:rsidR="00FF4AEF">
              <w:rPr>
                <w:b/>
                <w:szCs w:val="24"/>
                <w:lang w:val="en-GB"/>
              </w:rPr>
              <w:t>: 201</w:t>
            </w:r>
            <w:r w:rsidR="008050F5">
              <w:rPr>
                <w:b/>
                <w:szCs w:val="24"/>
                <w:lang w:val="en-GB"/>
              </w:rPr>
              <w:t>4</w:t>
            </w:r>
            <w:r>
              <w:rPr>
                <w:b/>
                <w:szCs w:val="24"/>
                <w:lang w:val="en-GB"/>
              </w:rPr>
              <w:t>/201</w:t>
            </w:r>
            <w:r w:rsidR="008050F5">
              <w:rPr>
                <w:b/>
                <w:szCs w:val="24"/>
                <w:lang w:val="en-GB"/>
              </w:rPr>
              <w:t>5</w:t>
            </w:r>
          </w:p>
          <w:p w14:paraId="2398D609" w14:textId="77777777" w:rsidR="00130EB9" w:rsidRPr="006D7FF8" w:rsidRDefault="00130EB9" w:rsidP="00084BFC">
            <w:pPr>
              <w:spacing w:before="40" w:after="4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 in the yearly maintenance cycle which starts in 201</w:t>
            </w:r>
            <w:r w:rsidR="008050F5">
              <w:rPr>
                <w:szCs w:val="24"/>
                <w:lang w:val="en-GB"/>
              </w:rPr>
              <w:t>4</w:t>
            </w:r>
            <w:r>
              <w:rPr>
                <w:szCs w:val="24"/>
                <w:lang w:val="en-GB"/>
              </w:rPr>
              <w:t xml:space="preserve"> and completes with the publication of new messag</w:t>
            </w:r>
            <w:r w:rsidR="00EB6791">
              <w:rPr>
                <w:szCs w:val="24"/>
                <w:lang w:val="en-GB"/>
              </w:rPr>
              <w:t>e versions in the spring of 201</w:t>
            </w:r>
            <w:r w:rsidR="008050F5">
              <w:rPr>
                <w:szCs w:val="24"/>
                <w:lang w:val="en-GB"/>
              </w:rPr>
              <w:t>5</w:t>
            </w:r>
            <w:r>
              <w:rPr>
                <w:szCs w:val="24"/>
                <w:lang w:val="en-GB"/>
              </w:rPr>
              <w:t>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957E01A" w14:textId="77777777" w:rsidR="00130EB9" w:rsidRPr="00AD7CD5" w:rsidRDefault="00130EB9" w:rsidP="00084BFC">
            <w:pPr>
              <w:spacing w:before="40" w:after="4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C40729" w:rsidRPr="006D7FF8" w14:paraId="1E54FB37" w14:textId="77777777" w:rsidTr="00130EB9">
        <w:trPr>
          <w:gridBefore w:val="1"/>
          <w:gridAfter w:val="1"/>
          <w:wBefore w:w="1059" w:type="dxa"/>
          <w:wAfter w:w="945" w:type="dxa"/>
          <w:trHeight w:val="50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7056A2AD" w14:textId="77777777" w:rsidR="00C40729" w:rsidRDefault="00C40729" w:rsidP="00084BFC">
            <w:pPr>
              <w:spacing w:before="40" w:after="4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46ABB345" w14:textId="77777777" w:rsidR="00C40729" w:rsidRDefault="00C40729" w:rsidP="00084BFC">
            <w:pPr>
              <w:spacing w:before="40" w:after="4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4409319D" w14:textId="77777777" w:rsidR="00C40729" w:rsidRDefault="00C40729" w:rsidP="00084BFC">
            <w:pPr>
              <w:spacing w:before="40" w:after="4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will be considered for implementation, but does not justify maintenance of the messages in its own right – will be pending until more critical change requests are received for the messages)</w:t>
            </w:r>
          </w:p>
        </w:tc>
        <w:tc>
          <w:tcPr>
            <w:tcW w:w="425" w:type="dxa"/>
          </w:tcPr>
          <w:p w14:paraId="2FC11BD1" w14:textId="77777777" w:rsidR="00C40729" w:rsidRPr="00AD7CD5" w:rsidRDefault="00CF6AB8" w:rsidP="00084BFC">
            <w:pPr>
              <w:spacing w:before="40" w:after="40"/>
              <w:jc w:val="center"/>
              <w:rPr>
                <w:color w:val="FF0000"/>
                <w:szCs w:val="24"/>
                <w:lang w:val="en-GB"/>
              </w:rPr>
            </w:pPr>
            <w:r>
              <w:rPr>
                <w:color w:val="FF0000"/>
                <w:szCs w:val="24"/>
                <w:lang w:val="en-GB"/>
              </w:rPr>
              <w:t>X</w:t>
            </w:r>
          </w:p>
        </w:tc>
      </w:tr>
      <w:tr w:rsidR="00C40729" w:rsidRPr="006D7FF8" w14:paraId="082F4651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3D364219" w14:textId="77777777" w:rsidR="00C40729" w:rsidRDefault="00C40729" w:rsidP="00084BFC">
            <w:pPr>
              <w:spacing w:before="40" w:after="40"/>
              <w:rPr>
                <w:szCs w:val="24"/>
                <w:lang w:val="en-GB"/>
              </w:rPr>
            </w:pPr>
          </w:p>
        </w:tc>
        <w:tc>
          <w:tcPr>
            <w:tcW w:w="5954" w:type="dxa"/>
            <w:gridSpan w:val="2"/>
          </w:tcPr>
          <w:p w14:paraId="6592A01B" w14:textId="77777777" w:rsidR="00C40729" w:rsidRDefault="00C40729" w:rsidP="00084BFC">
            <w:pPr>
              <w:spacing w:before="40" w:after="4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Urgent unscheduled</w:t>
            </w:r>
          </w:p>
          <w:p w14:paraId="451522A5" w14:textId="77777777" w:rsidR="00C40729" w:rsidRDefault="00C40729" w:rsidP="00084BFC">
            <w:pPr>
              <w:spacing w:before="40" w:after="4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(the change justifies an urgent implementation outside of the normal yearly cycle)</w:t>
            </w:r>
          </w:p>
        </w:tc>
        <w:tc>
          <w:tcPr>
            <w:tcW w:w="425" w:type="dxa"/>
          </w:tcPr>
          <w:p w14:paraId="56DEF0ED" w14:textId="77777777" w:rsidR="00C40729" w:rsidRPr="00AD7CD5" w:rsidRDefault="00C40729" w:rsidP="00084BFC">
            <w:pPr>
              <w:spacing w:before="40" w:after="40"/>
              <w:jc w:val="center"/>
              <w:rPr>
                <w:color w:val="FF0000"/>
                <w:szCs w:val="24"/>
                <w:lang w:val="en-GB"/>
              </w:rPr>
            </w:pP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41CD9DE6" w14:textId="77777777" w:rsidR="00C40729" w:rsidRDefault="00C40729" w:rsidP="00084BFC">
            <w:pPr>
              <w:spacing w:before="40" w:after="40"/>
              <w:ind w:left="360"/>
              <w:jc w:val="both"/>
              <w:rPr>
                <w:szCs w:val="24"/>
                <w:lang w:val="en-GB"/>
              </w:rPr>
            </w:pPr>
          </w:p>
        </w:tc>
      </w:tr>
      <w:tr w:rsidR="00C40729" w:rsidRPr="006D7FF8" w14:paraId="022CC596" w14:textId="77777777" w:rsidTr="00130EB9">
        <w:trPr>
          <w:gridBefore w:val="1"/>
          <w:wBefore w:w="1059" w:type="dxa"/>
          <w:trHeight w:val="511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</w:tcBorders>
          </w:tcPr>
          <w:p w14:paraId="18A94906" w14:textId="77777777" w:rsidR="00C40729" w:rsidRDefault="00C40729" w:rsidP="00084BFC">
            <w:pPr>
              <w:spacing w:before="40" w:after="40"/>
              <w:rPr>
                <w:szCs w:val="24"/>
                <w:lang w:val="en-GB"/>
              </w:rPr>
            </w:pPr>
          </w:p>
        </w:tc>
        <w:tc>
          <w:tcPr>
            <w:tcW w:w="6379" w:type="dxa"/>
            <w:gridSpan w:val="3"/>
          </w:tcPr>
          <w:p w14:paraId="31633C7A" w14:textId="77777777" w:rsidR="00C40729" w:rsidRPr="00AD7CD5" w:rsidRDefault="00C40729" w:rsidP="00084BFC">
            <w:pPr>
              <w:spacing w:before="40" w:after="40"/>
              <w:rPr>
                <w:color w:val="FF000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945" w:type="dxa"/>
            <w:tcBorders>
              <w:top w:val="nil"/>
              <w:bottom w:val="nil"/>
              <w:right w:val="nil"/>
            </w:tcBorders>
          </w:tcPr>
          <w:p w14:paraId="4713F13B" w14:textId="77777777" w:rsidR="00C40729" w:rsidRDefault="00C40729" w:rsidP="00084BFC">
            <w:pPr>
              <w:spacing w:before="40" w:after="40"/>
              <w:ind w:left="360"/>
              <w:jc w:val="both"/>
              <w:rPr>
                <w:szCs w:val="24"/>
                <w:lang w:val="en-GB"/>
              </w:rPr>
            </w:pPr>
          </w:p>
          <w:p w14:paraId="631A4743" w14:textId="77777777" w:rsidR="00C40729" w:rsidRDefault="00C40729" w:rsidP="00084BFC">
            <w:pPr>
              <w:spacing w:before="40" w:after="40"/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p w14:paraId="0AA4C2B8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6DCEBB4D" w14:textId="0362D40E" w:rsidR="00C41DDB" w:rsidRDefault="00045777" w:rsidP="00C41DDB">
      <w:pPr>
        <w:rPr>
          <w:szCs w:val="24"/>
          <w:lang w:val="en-GB"/>
        </w:rPr>
      </w:pPr>
      <w:r w:rsidRPr="00045777">
        <w:rPr>
          <w:szCs w:val="24"/>
          <w:lang w:val="en-GB"/>
        </w:rPr>
        <w:t xml:space="preserve">July 2025 update: Maintenance 2025/2026 – </w:t>
      </w:r>
      <w:r>
        <w:rPr>
          <w:szCs w:val="24"/>
          <w:lang w:val="en-GB"/>
        </w:rPr>
        <w:t>consider</w:t>
      </w:r>
      <w:r w:rsidRPr="00045777">
        <w:rPr>
          <w:szCs w:val="24"/>
          <w:lang w:val="en-GB"/>
        </w:rPr>
        <w:t>.</w:t>
      </w:r>
    </w:p>
    <w:p w14:paraId="2EF45B1F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"/>
      </w:tblGrid>
      <w:tr w:rsidR="00C41DDB" w:rsidRPr="00AD7CD5" w14:paraId="73F5025D" w14:textId="77777777" w:rsidTr="00C40729">
        <w:tc>
          <w:tcPr>
            <w:tcW w:w="1242" w:type="dxa"/>
          </w:tcPr>
          <w:p w14:paraId="6F587D04" w14:textId="77777777" w:rsidR="00C41DDB" w:rsidRPr="00E3221E" w:rsidRDefault="00C41DDB" w:rsidP="00084BFC">
            <w:pPr>
              <w:spacing w:before="40" w:after="40"/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567" w:type="dxa"/>
          </w:tcPr>
          <w:p w14:paraId="30C0EA9B" w14:textId="77777777" w:rsidR="00C41DDB" w:rsidRPr="00AD7CD5" w:rsidRDefault="00C41DDB" w:rsidP="00084BFC">
            <w:pPr>
              <w:spacing w:before="40" w:after="40"/>
              <w:rPr>
                <w:color w:val="FF0000"/>
                <w:szCs w:val="24"/>
                <w:lang w:val="en-GB"/>
              </w:rPr>
            </w:pPr>
          </w:p>
        </w:tc>
      </w:tr>
    </w:tbl>
    <w:p w14:paraId="1968A39F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3318" w14:textId="77777777" w:rsidR="009E7A11" w:rsidRDefault="009E7A11">
      <w:r>
        <w:separator/>
      </w:r>
    </w:p>
  </w:endnote>
  <w:endnote w:type="continuationSeparator" w:id="0">
    <w:p w14:paraId="57063100" w14:textId="77777777" w:rsidR="009E7A11" w:rsidRDefault="009E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40A4" w14:textId="77777777" w:rsidR="00045777" w:rsidRDefault="00045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558A6" w14:textId="28B23872" w:rsidR="008814B8" w:rsidRDefault="00DA1172">
    <w:pPr>
      <w:pStyle w:val="Footer"/>
      <w:rPr>
        <w:rStyle w:val="PageNumber"/>
      </w:rPr>
    </w:pPr>
    <w:r>
      <w:t>CR0345_SWIFT_XOR_IF_reda_v</w:t>
    </w:r>
    <w:r w:rsidR="00045777">
      <w:t>3</w:t>
    </w:r>
    <w:r w:rsidR="007D0107">
      <w:tab/>
    </w:r>
    <w:r>
      <w:t xml:space="preserve"> Produced by SWIFT on 13 Feb 14 </w:t>
    </w:r>
    <w:r w:rsidR="008814B8">
      <w:tab/>
      <w:t xml:space="preserve">Page </w:t>
    </w:r>
    <w:r w:rsidR="008814B8">
      <w:rPr>
        <w:rStyle w:val="PageNumber"/>
      </w:rPr>
      <w:fldChar w:fldCharType="begin"/>
    </w:r>
    <w:r w:rsidR="008814B8">
      <w:rPr>
        <w:rStyle w:val="PageNumber"/>
      </w:rPr>
      <w:instrText xml:space="preserve"> PAGE </w:instrText>
    </w:r>
    <w:r w:rsidR="008814B8">
      <w:rPr>
        <w:rStyle w:val="PageNumber"/>
      </w:rPr>
      <w:fldChar w:fldCharType="separate"/>
    </w:r>
    <w:r w:rsidR="00CF6AB8">
      <w:rPr>
        <w:rStyle w:val="PageNumber"/>
        <w:noProof/>
      </w:rPr>
      <w:t>3</w:t>
    </w:r>
    <w:r w:rsidR="008814B8">
      <w:rPr>
        <w:rStyle w:val="PageNumber"/>
      </w:rPr>
      <w:fldChar w:fldCharType="end"/>
    </w:r>
  </w:p>
  <w:p w14:paraId="3776E000" w14:textId="77777777" w:rsidR="008814B8" w:rsidRDefault="008814B8">
    <w:pPr>
      <w:pStyle w:val="Footer"/>
      <w:rPr>
        <w:rStyle w:val="PageNumber"/>
      </w:rPr>
    </w:pPr>
  </w:p>
  <w:p w14:paraId="667C380A" w14:textId="77777777" w:rsidR="008814B8" w:rsidRDefault="008814B8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3386" w14:textId="77777777" w:rsidR="00045777" w:rsidRDefault="00045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8D9C" w14:textId="77777777" w:rsidR="009E7A11" w:rsidRDefault="009E7A11">
      <w:r>
        <w:separator/>
      </w:r>
    </w:p>
  </w:footnote>
  <w:footnote w:type="continuationSeparator" w:id="0">
    <w:p w14:paraId="60664FFD" w14:textId="77777777" w:rsidR="009E7A11" w:rsidRDefault="009E7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E961" w14:textId="77777777" w:rsidR="00045777" w:rsidRDefault="00045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ADD5" w14:textId="77777777" w:rsidR="00DA1172" w:rsidRPr="00DA1172" w:rsidRDefault="00DA1172">
    <w:pPr>
      <w:pStyle w:val="Header"/>
      <w:rPr>
        <w:lang w:val="en-GB"/>
      </w:rPr>
    </w:pPr>
    <w:r>
      <w:rPr>
        <w:lang w:val="en-GB"/>
      </w:rPr>
      <w:t>RA ID: CR0345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1B59C" w14:textId="77777777" w:rsidR="00045777" w:rsidRDefault="00045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D15C7B"/>
    <w:multiLevelType w:val="hybridMultilevel"/>
    <w:tmpl w:val="3DF8B8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0054178">
    <w:abstractNumId w:val="2"/>
  </w:num>
  <w:num w:numId="2" w16cid:durableId="1068528171">
    <w:abstractNumId w:val="0"/>
  </w:num>
  <w:num w:numId="3" w16cid:durableId="557253716">
    <w:abstractNumId w:val="1"/>
  </w:num>
  <w:num w:numId="4" w16cid:durableId="849372835">
    <w:abstractNumId w:val="3"/>
  </w:num>
  <w:num w:numId="5" w16cid:durableId="991373949">
    <w:abstractNumId w:val="16"/>
  </w:num>
  <w:num w:numId="6" w16cid:durableId="704259872">
    <w:abstractNumId w:val="8"/>
  </w:num>
  <w:num w:numId="7" w16cid:durableId="749469987">
    <w:abstractNumId w:val="12"/>
  </w:num>
  <w:num w:numId="8" w16cid:durableId="939684609">
    <w:abstractNumId w:val="10"/>
  </w:num>
  <w:num w:numId="9" w16cid:durableId="1149253415">
    <w:abstractNumId w:val="15"/>
  </w:num>
  <w:num w:numId="10" w16cid:durableId="30959588">
    <w:abstractNumId w:val="5"/>
  </w:num>
  <w:num w:numId="11" w16cid:durableId="1660377523">
    <w:abstractNumId w:val="7"/>
  </w:num>
  <w:num w:numId="12" w16cid:durableId="1855606253">
    <w:abstractNumId w:val="11"/>
  </w:num>
  <w:num w:numId="13" w16cid:durableId="1197691991">
    <w:abstractNumId w:val="4"/>
  </w:num>
  <w:num w:numId="14" w16cid:durableId="1362389892">
    <w:abstractNumId w:val="6"/>
  </w:num>
  <w:num w:numId="15" w16cid:durableId="2024893149">
    <w:abstractNumId w:val="14"/>
  </w:num>
  <w:num w:numId="16" w16cid:durableId="1607538077">
    <w:abstractNumId w:val="13"/>
  </w:num>
  <w:num w:numId="17" w16cid:durableId="13504483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3395A"/>
    <w:rsid w:val="000408BA"/>
    <w:rsid w:val="00041661"/>
    <w:rsid w:val="00045777"/>
    <w:rsid w:val="000558EF"/>
    <w:rsid w:val="0006293F"/>
    <w:rsid w:val="00070308"/>
    <w:rsid w:val="00080D3A"/>
    <w:rsid w:val="000823AA"/>
    <w:rsid w:val="00082743"/>
    <w:rsid w:val="000837C7"/>
    <w:rsid w:val="00083C96"/>
    <w:rsid w:val="00084BFC"/>
    <w:rsid w:val="000A0080"/>
    <w:rsid w:val="000A172E"/>
    <w:rsid w:val="000A20E4"/>
    <w:rsid w:val="000B65C7"/>
    <w:rsid w:val="000C015D"/>
    <w:rsid w:val="000D01F6"/>
    <w:rsid w:val="000D5D39"/>
    <w:rsid w:val="000E2471"/>
    <w:rsid w:val="000E7941"/>
    <w:rsid w:val="000F3C8B"/>
    <w:rsid w:val="000F43E3"/>
    <w:rsid w:val="00101212"/>
    <w:rsid w:val="00101D5F"/>
    <w:rsid w:val="00105754"/>
    <w:rsid w:val="00130EB9"/>
    <w:rsid w:val="0014379C"/>
    <w:rsid w:val="00153ED1"/>
    <w:rsid w:val="00163DB3"/>
    <w:rsid w:val="001711D3"/>
    <w:rsid w:val="00185453"/>
    <w:rsid w:val="00185E8E"/>
    <w:rsid w:val="00185EBB"/>
    <w:rsid w:val="001B1858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3669F"/>
    <w:rsid w:val="002472D9"/>
    <w:rsid w:val="002509A2"/>
    <w:rsid w:val="0025138E"/>
    <w:rsid w:val="002521C9"/>
    <w:rsid w:val="00256BDD"/>
    <w:rsid w:val="002711E6"/>
    <w:rsid w:val="00284065"/>
    <w:rsid w:val="002904C8"/>
    <w:rsid w:val="002A0290"/>
    <w:rsid w:val="002A33E0"/>
    <w:rsid w:val="002B0567"/>
    <w:rsid w:val="002D549A"/>
    <w:rsid w:val="002E014D"/>
    <w:rsid w:val="002E27A9"/>
    <w:rsid w:val="003006F2"/>
    <w:rsid w:val="003014E7"/>
    <w:rsid w:val="0030368F"/>
    <w:rsid w:val="00303E94"/>
    <w:rsid w:val="00304151"/>
    <w:rsid w:val="00316F04"/>
    <w:rsid w:val="00320A89"/>
    <w:rsid w:val="00323B6F"/>
    <w:rsid w:val="00324C6F"/>
    <w:rsid w:val="00332E8F"/>
    <w:rsid w:val="00336209"/>
    <w:rsid w:val="00336ED6"/>
    <w:rsid w:val="00360300"/>
    <w:rsid w:val="00380928"/>
    <w:rsid w:val="0038393A"/>
    <w:rsid w:val="00386B78"/>
    <w:rsid w:val="003A1EBF"/>
    <w:rsid w:val="003A3D7D"/>
    <w:rsid w:val="003B261A"/>
    <w:rsid w:val="003C0213"/>
    <w:rsid w:val="003C0267"/>
    <w:rsid w:val="003C3840"/>
    <w:rsid w:val="003D3C3B"/>
    <w:rsid w:val="003D56E3"/>
    <w:rsid w:val="003E59BF"/>
    <w:rsid w:val="003E67E5"/>
    <w:rsid w:val="003F1C24"/>
    <w:rsid w:val="003F547E"/>
    <w:rsid w:val="003F57CE"/>
    <w:rsid w:val="003F6B05"/>
    <w:rsid w:val="00401998"/>
    <w:rsid w:val="00411F66"/>
    <w:rsid w:val="00427966"/>
    <w:rsid w:val="0044313F"/>
    <w:rsid w:val="00445D10"/>
    <w:rsid w:val="00446B25"/>
    <w:rsid w:val="004475F9"/>
    <w:rsid w:val="0045022C"/>
    <w:rsid w:val="00451986"/>
    <w:rsid w:val="00456A93"/>
    <w:rsid w:val="00462051"/>
    <w:rsid w:val="00465900"/>
    <w:rsid w:val="00473145"/>
    <w:rsid w:val="00493FF8"/>
    <w:rsid w:val="004A02CE"/>
    <w:rsid w:val="004A168F"/>
    <w:rsid w:val="004A40DC"/>
    <w:rsid w:val="004B5A22"/>
    <w:rsid w:val="004E05CB"/>
    <w:rsid w:val="004E1F21"/>
    <w:rsid w:val="004F0578"/>
    <w:rsid w:val="004F0934"/>
    <w:rsid w:val="004F1090"/>
    <w:rsid w:val="004F61D5"/>
    <w:rsid w:val="0050171A"/>
    <w:rsid w:val="0052302E"/>
    <w:rsid w:val="005246BE"/>
    <w:rsid w:val="005411C7"/>
    <w:rsid w:val="00555709"/>
    <w:rsid w:val="00563FFF"/>
    <w:rsid w:val="005677B8"/>
    <w:rsid w:val="00567F13"/>
    <w:rsid w:val="00573C83"/>
    <w:rsid w:val="00577861"/>
    <w:rsid w:val="00577BCC"/>
    <w:rsid w:val="005810CA"/>
    <w:rsid w:val="00594A5F"/>
    <w:rsid w:val="005960E2"/>
    <w:rsid w:val="00596453"/>
    <w:rsid w:val="005A7F37"/>
    <w:rsid w:val="005B4CAC"/>
    <w:rsid w:val="005B602E"/>
    <w:rsid w:val="005C4C5F"/>
    <w:rsid w:val="005D06FE"/>
    <w:rsid w:val="005E1210"/>
    <w:rsid w:val="005E3784"/>
    <w:rsid w:val="005E46E4"/>
    <w:rsid w:val="005F05DB"/>
    <w:rsid w:val="005F2E6B"/>
    <w:rsid w:val="006043A9"/>
    <w:rsid w:val="00605941"/>
    <w:rsid w:val="00610B1B"/>
    <w:rsid w:val="00610F9A"/>
    <w:rsid w:val="00631A43"/>
    <w:rsid w:val="0063312E"/>
    <w:rsid w:val="006643DC"/>
    <w:rsid w:val="006876C0"/>
    <w:rsid w:val="006A02BC"/>
    <w:rsid w:val="006A7B96"/>
    <w:rsid w:val="006B20DC"/>
    <w:rsid w:val="006D4A37"/>
    <w:rsid w:val="00706604"/>
    <w:rsid w:val="007118C4"/>
    <w:rsid w:val="00723DE0"/>
    <w:rsid w:val="00732595"/>
    <w:rsid w:val="0074349F"/>
    <w:rsid w:val="0075466C"/>
    <w:rsid w:val="00774921"/>
    <w:rsid w:val="00783891"/>
    <w:rsid w:val="007A3D22"/>
    <w:rsid w:val="007A4CCC"/>
    <w:rsid w:val="007A6E0D"/>
    <w:rsid w:val="007B3927"/>
    <w:rsid w:val="007C6E42"/>
    <w:rsid w:val="007C7AB4"/>
    <w:rsid w:val="007C7CD2"/>
    <w:rsid w:val="007D0107"/>
    <w:rsid w:val="007D69B5"/>
    <w:rsid w:val="007D6A9F"/>
    <w:rsid w:val="007E64D9"/>
    <w:rsid w:val="007F6A8C"/>
    <w:rsid w:val="0080347E"/>
    <w:rsid w:val="008038C3"/>
    <w:rsid w:val="008050F5"/>
    <w:rsid w:val="0081068B"/>
    <w:rsid w:val="00812324"/>
    <w:rsid w:val="00814D4C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43E4"/>
    <w:rsid w:val="008656A6"/>
    <w:rsid w:val="00865C2F"/>
    <w:rsid w:val="0086676E"/>
    <w:rsid w:val="00875210"/>
    <w:rsid w:val="008814B8"/>
    <w:rsid w:val="008869D6"/>
    <w:rsid w:val="008A7F65"/>
    <w:rsid w:val="008B5FA2"/>
    <w:rsid w:val="008B675B"/>
    <w:rsid w:val="008F5C90"/>
    <w:rsid w:val="00906C6A"/>
    <w:rsid w:val="00914273"/>
    <w:rsid w:val="00916A80"/>
    <w:rsid w:val="00925AA4"/>
    <w:rsid w:val="00925B08"/>
    <w:rsid w:val="009279BF"/>
    <w:rsid w:val="00936CAB"/>
    <w:rsid w:val="00937D26"/>
    <w:rsid w:val="00951C86"/>
    <w:rsid w:val="00956D7A"/>
    <w:rsid w:val="00965199"/>
    <w:rsid w:val="00966046"/>
    <w:rsid w:val="009770EE"/>
    <w:rsid w:val="009C1445"/>
    <w:rsid w:val="009E2C75"/>
    <w:rsid w:val="009E733F"/>
    <w:rsid w:val="009E7A11"/>
    <w:rsid w:val="00A10221"/>
    <w:rsid w:val="00A21B8D"/>
    <w:rsid w:val="00A24433"/>
    <w:rsid w:val="00A25B84"/>
    <w:rsid w:val="00A34E75"/>
    <w:rsid w:val="00A416DF"/>
    <w:rsid w:val="00A46877"/>
    <w:rsid w:val="00A47C6F"/>
    <w:rsid w:val="00A5492F"/>
    <w:rsid w:val="00A60DC3"/>
    <w:rsid w:val="00A60E56"/>
    <w:rsid w:val="00A83810"/>
    <w:rsid w:val="00A91E76"/>
    <w:rsid w:val="00A91F56"/>
    <w:rsid w:val="00AA5E76"/>
    <w:rsid w:val="00AC334E"/>
    <w:rsid w:val="00AD7CD5"/>
    <w:rsid w:val="00AE0A90"/>
    <w:rsid w:val="00AE4D14"/>
    <w:rsid w:val="00AF09E1"/>
    <w:rsid w:val="00AF2EBF"/>
    <w:rsid w:val="00B01132"/>
    <w:rsid w:val="00B06CA8"/>
    <w:rsid w:val="00B21761"/>
    <w:rsid w:val="00B21FA3"/>
    <w:rsid w:val="00B27B87"/>
    <w:rsid w:val="00B307A7"/>
    <w:rsid w:val="00B30D86"/>
    <w:rsid w:val="00B426C6"/>
    <w:rsid w:val="00B44DEE"/>
    <w:rsid w:val="00B45490"/>
    <w:rsid w:val="00B5520C"/>
    <w:rsid w:val="00B70B84"/>
    <w:rsid w:val="00B807AE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6FF8"/>
    <w:rsid w:val="00C17665"/>
    <w:rsid w:val="00C208AF"/>
    <w:rsid w:val="00C329B7"/>
    <w:rsid w:val="00C32DF8"/>
    <w:rsid w:val="00C40729"/>
    <w:rsid w:val="00C41DDB"/>
    <w:rsid w:val="00C46C5A"/>
    <w:rsid w:val="00C52ABE"/>
    <w:rsid w:val="00C55D5E"/>
    <w:rsid w:val="00C656B1"/>
    <w:rsid w:val="00C84DB0"/>
    <w:rsid w:val="00CB683A"/>
    <w:rsid w:val="00CB7C2C"/>
    <w:rsid w:val="00CC062F"/>
    <w:rsid w:val="00CC1768"/>
    <w:rsid w:val="00CC68E1"/>
    <w:rsid w:val="00CD0745"/>
    <w:rsid w:val="00CD363B"/>
    <w:rsid w:val="00CD3C90"/>
    <w:rsid w:val="00CD59B1"/>
    <w:rsid w:val="00CE1BAC"/>
    <w:rsid w:val="00CE3C44"/>
    <w:rsid w:val="00CF098A"/>
    <w:rsid w:val="00CF3041"/>
    <w:rsid w:val="00CF6AB8"/>
    <w:rsid w:val="00D123C1"/>
    <w:rsid w:val="00D234FD"/>
    <w:rsid w:val="00D2600B"/>
    <w:rsid w:val="00D51B61"/>
    <w:rsid w:val="00D56571"/>
    <w:rsid w:val="00D67DE0"/>
    <w:rsid w:val="00D74F66"/>
    <w:rsid w:val="00D82FBD"/>
    <w:rsid w:val="00D9338F"/>
    <w:rsid w:val="00D9582C"/>
    <w:rsid w:val="00DA043A"/>
    <w:rsid w:val="00DA116C"/>
    <w:rsid w:val="00DA1172"/>
    <w:rsid w:val="00DA22C9"/>
    <w:rsid w:val="00DA3483"/>
    <w:rsid w:val="00DB419A"/>
    <w:rsid w:val="00DC0EBA"/>
    <w:rsid w:val="00DC195F"/>
    <w:rsid w:val="00DC68D5"/>
    <w:rsid w:val="00DD37B4"/>
    <w:rsid w:val="00DD422D"/>
    <w:rsid w:val="00DD6827"/>
    <w:rsid w:val="00E11D29"/>
    <w:rsid w:val="00E1588B"/>
    <w:rsid w:val="00E16A62"/>
    <w:rsid w:val="00E3221E"/>
    <w:rsid w:val="00E37E77"/>
    <w:rsid w:val="00E5111B"/>
    <w:rsid w:val="00E55F7C"/>
    <w:rsid w:val="00E56A87"/>
    <w:rsid w:val="00E62FA3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B6791"/>
    <w:rsid w:val="00EC35A4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521A4"/>
    <w:rsid w:val="00F52C18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A112C"/>
    <w:rsid w:val="00FB56E2"/>
    <w:rsid w:val="00FC5011"/>
    <w:rsid w:val="00FD0B96"/>
    <w:rsid w:val="00FD54A5"/>
    <w:rsid w:val="00FD58BE"/>
    <w:rsid w:val="00FE6405"/>
    <w:rsid w:val="00FF4AEF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631F4C"/>
  <w15:chartTrackingRefBased/>
  <w15:docId w15:val="{5140C1A2-7747-4808-A4AE-429C0629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4BFC"/>
    <w:pPr>
      <w:spacing w:before="140"/>
    </w:pPr>
    <w:rPr>
      <w:rFonts w:ascii="Arial" w:hAnsi="Arial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paragraph" w:styleId="NormalWeb">
    <w:name w:val="Normal (Web)"/>
    <w:basedOn w:val="Normal"/>
    <w:uiPriority w:val="99"/>
    <w:rsid w:val="00C16FF8"/>
    <w:pPr>
      <w:spacing w:before="100" w:beforeAutospacing="1" w:after="100" w:afterAutospacing="1"/>
    </w:pPr>
    <w:rPr>
      <w:rFonts w:eastAsia="Times New Roman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7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janice.chapman@swift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MSKTH6SNCJSU-234293521-45138</_dlc_DocId>
    <_dlc_DocIdUrl xmlns="806285ac-449a-4fb1-8311-58d88e150cc7">
      <Url>https://swiftcorp.sharepoint.com/sites/ps-ow-standards team/_layouts/15/DocIdRedir.aspx?ID=MSKTH6SNCJSU-234293521-45138</Url>
      <Description>MSKTH6SNCJSU-234293521-45138</Description>
    </_dlc_DocIdUrl>
  </documentManagement>
</p:properties>
</file>

<file path=customXml/itemProps1.xml><?xml version="1.0" encoding="utf-8"?>
<ds:datastoreItem xmlns:ds="http://schemas.openxmlformats.org/officeDocument/2006/customXml" ds:itemID="{1390A16D-3F49-4B4E-BF8D-00BF48C046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E06752-0FF4-4946-B209-F964B0D226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44A595-9E60-42B3-921D-7F730D5AB49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EB5CCE-22ED-42B7-AC29-6A6DFC7ABB9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82EABE2-F62B-4EFB-B7B5-4C3FA1A76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2D62B58-4866-4230-8958-D5791F004DF5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docMetadata/LabelInfo.xml><?xml version="1.0" encoding="utf-8"?>
<clbl:labelList xmlns:clbl="http://schemas.microsoft.com/office/2020/mipLabelMetadata">
  <clbl:label id="{73ffee4c-6a1f-4ed2-ac48-3a8ed3359974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696</Words>
  <Characters>4000</Characters>
  <Application>Microsoft Office Word</Application>
  <DocSecurity>0</DocSecurity>
  <Lines>137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4599</CharactersWithSpaces>
  <SharedDoc>false</SharedDoc>
  <HLinks>
    <vt:vector size="6" baseType="variant">
      <vt:variant>
        <vt:i4>4325419</vt:i4>
      </vt:variant>
      <vt:variant>
        <vt:i4>0</vt:i4>
      </vt:variant>
      <vt:variant>
        <vt:i4>0</vt:i4>
      </vt:variant>
      <vt:variant>
        <vt:i4>5</vt:i4>
      </vt:variant>
      <vt:variant>
        <vt:lpwstr>mailto:janice.chapman@swift.com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4</cp:revision>
  <cp:lastPrinted>2009-03-10T11:18:00Z</cp:lastPrinted>
  <dcterms:created xsi:type="dcterms:W3CDTF">2025-07-08T12:39:00Z</dcterms:created>
  <dcterms:modified xsi:type="dcterms:W3CDTF">2025-07-08T12:39:00Z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Url">
    <vt:lpwstr>https://swiftcorp.sharepoint.com/sites/ps-ow-standards team/_layouts/15/DocIdRedir.aspx?ID=MSKTH6SNCJSU-234293521-45137, MSKTH6SNCJSU-234293521-45137</vt:lpwstr>
  </property>
  <property fmtid="{D5CDD505-2E9C-101B-9397-08002B2CF9AE}" pid="3" name="_dlc_DocId">
    <vt:lpwstr>MSKTH6SNCJSU-234293521-45137</vt:lpwstr>
  </property>
  <property fmtid="{D5CDD505-2E9C-101B-9397-08002B2CF9AE}" pid="4" name="_dlc_DocIdItemGuid">
    <vt:lpwstr>e18a05d6-ce26-422d-b2c7-32ec069677f1</vt:lpwstr>
  </property>
  <property fmtid="{D5CDD505-2E9C-101B-9397-08002B2CF9AE}" pid="5" name="ContentTypeId">
    <vt:lpwstr>0x010100FA5E47E012EAA240A32F04A8870061BA</vt:lpwstr>
  </property>
  <property fmtid="{D5CDD505-2E9C-101B-9397-08002B2CF9AE}" pid="6" name="MediaServiceImageTags">
    <vt:lpwstr/>
  </property>
</Properties>
</file>