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828B" w14:textId="77777777" w:rsidR="00865C2F" w:rsidRPr="00865C2F" w:rsidRDefault="00DD37B4" w:rsidP="00865C2F">
      <w:pPr>
        <w:jc w:val="center"/>
        <w:rPr>
          <w:b/>
          <w:smallCaps/>
          <w:szCs w:val="24"/>
          <w:lang w:val="en-GB"/>
        </w:rPr>
      </w:pPr>
      <w:r>
        <w:rPr>
          <w:b/>
          <w:smallCaps/>
          <w:szCs w:val="24"/>
          <w:lang w:val="en-GB"/>
        </w:rPr>
        <w:t>Change Request</w:t>
      </w:r>
    </w:p>
    <w:p w14:paraId="4F44DAD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F8C9432"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F1E0213" w14:textId="77777777" w:rsidR="00B87B48" w:rsidRDefault="008438AF" w:rsidP="008438AF">
      <w:pPr>
        <w:rPr>
          <w:szCs w:val="24"/>
          <w:lang w:val="en-GB"/>
        </w:rPr>
      </w:pPr>
      <w:r w:rsidRPr="008438AF">
        <w:rPr>
          <w:i/>
          <w:szCs w:val="24"/>
          <w:lang w:val="en-GB"/>
        </w:rPr>
        <w:t>A.1 Submitter</w:t>
      </w:r>
      <w:r>
        <w:rPr>
          <w:szCs w:val="24"/>
          <w:lang w:val="en-GB"/>
        </w:rPr>
        <w:t xml:space="preserve">: </w:t>
      </w:r>
    </w:p>
    <w:p w14:paraId="6D4290C8" w14:textId="77777777" w:rsidR="000408BA" w:rsidRDefault="008F7185" w:rsidP="00B87B48">
      <w:pPr>
        <w:numPr>
          <w:ilvl w:val="0"/>
          <w:numId w:val="19"/>
        </w:numPr>
        <w:rPr>
          <w:szCs w:val="24"/>
          <w:lang w:val="en-GB"/>
        </w:rPr>
      </w:pPr>
      <w:r>
        <w:rPr>
          <w:szCs w:val="24"/>
          <w:lang w:val="en-GB"/>
        </w:rPr>
        <w:t>Swiss Commission for Financial Standardisation (SCFS) – Sub-Commission Funds</w:t>
      </w:r>
      <w:r w:rsidR="008438AF">
        <w:rPr>
          <w:szCs w:val="24"/>
          <w:lang w:val="en-GB"/>
        </w:rPr>
        <w:t xml:space="preserve">. </w:t>
      </w:r>
    </w:p>
    <w:p w14:paraId="2DB9287E" w14:textId="77777777" w:rsidR="00B87B48"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353298A" w14:textId="77777777" w:rsidR="008438AF" w:rsidRPr="00B87B48" w:rsidRDefault="008F7185" w:rsidP="00B87B48">
      <w:pPr>
        <w:numPr>
          <w:ilvl w:val="0"/>
          <w:numId w:val="18"/>
        </w:numPr>
        <w:rPr>
          <w:szCs w:val="24"/>
          <w:lang w:val="de-CH"/>
        </w:rPr>
      </w:pPr>
      <w:r w:rsidRPr="00B87B48">
        <w:rPr>
          <w:szCs w:val="24"/>
          <w:lang w:val="de-CH"/>
        </w:rPr>
        <w:t xml:space="preserve">Matthias Schindler, </w:t>
      </w:r>
      <w:hyperlink r:id="rId12" w:history="1">
        <w:r w:rsidRPr="00B87B48">
          <w:rPr>
            <w:rStyle w:val="Hyperlink"/>
            <w:szCs w:val="24"/>
            <w:lang w:val="de-CH"/>
          </w:rPr>
          <w:t>Matthias.schindler@avaloq.com</w:t>
        </w:r>
      </w:hyperlink>
      <w:r w:rsidRPr="00B87B48">
        <w:rPr>
          <w:szCs w:val="24"/>
          <w:lang w:val="de-CH"/>
        </w:rPr>
        <w:t>, +41 58 316 2287</w:t>
      </w:r>
    </w:p>
    <w:p w14:paraId="186D5CB7" w14:textId="77777777" w:rsidR="008F7185" w:rsidRDefault="008438AF" w:rsidP="008438AF">
      <w:pPr>
        <w:rPr>
          <w:szCs w:val="24"/>
          <w:lang w:val="en-GB"/>
        </w:rPr>
      </w:pPr>
      <w:r w:rsidRPr="00B87B48">
        <w:rPr>
          <w:i/>
          <w:szCs w:val="24"/>
          <w:lang w:val="de-CH"/>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368A9A32" w14:textId="77777777" w:rsidR="008F7185" w:rsidRDefault="005B6FD2" w:rsidP="00B87B48">
      <w:pPr>
        <w:numPr>
          <w:ilvl w:val="0"/>
          <w:numId w:val="17"/>
        </w:numPr>
        <w:rPr>
          <w:szCs w:val="24"/>
          <w:lang w:val="en-GB"/>
        </w:rPr>
      </w:pPr>
      <w:r w:rsidRPr="005B6FD2">
        <w:rPr>
          <w:szCs w:val="24"/>
          <w:lang w:val="en-GB"/>
        </w:rPr>
        <w:t xml:space="preserve">This CR is sponsored by the </w:t>
      </w:r>
      <w:r>
        <w:rPr>
          <w:szCs w:val="24"/>
          <w:lang w:val="en-GB"/>
        </w:rPr>
        <w:t>sub</w:t>
      </w:r>
      <w:r w:rsidRPr="005B6FD2">
        <w:rPr>
          <w:szCs w:val="24"/>
          <w:lang w:val="en-GB"/>
        </w:rPr>
        <w:t xml:space="preserve"> commission for </w:t>
      </w:r>
      <w:r>
        <w:rPr>
          <w:szCs w:val="24"/>
          <w:lang w:val="en-GB"/>
        </w:rPr>
        <w:t>funds</w:t>
      </w:r>
      <w:r w:rsidRPr="005B6FD2">
        <w:rPr>
          <w:szCs w:val="24"/>
          <w:lang w:val="en-GB"/>
        </w:rPr>
        <w:t xml:space="preserve"> (</w:t>
      </w:r>
      <w:r>
        <w:rPr>
          <w:szCs w:val="24"/>
          <w:lang w:val="en-GB"/>
        </w:rPr>
        <w:t>F</w:t>
      </w:r>
      <w:r w:rsidRPr="005B6FD2">
        <w:rPr>
          <w:szCs w:val="24"/>
          <w:lang w:val="en-GB"/>
        </w:rPr>
        <w:t xml:space="preserve">K </w:t>
      </w:r>
      <w:r>
        <w:rPr>
          <w:szCs w:val="24"/>
          <w:lang w:val="en-GB"/>
        </w:rPr>
        <w:t>FUNDS)</w:t>
      </w:r>
      <w:r w:rsidRPr="005B6FD2">
        <w:rPr>
          <w:szCs w:val="24"/>
          <w:lang w:val="en-GB"/>
        </w:rPr>
        <w:t xml:space="preserve"> of the Swiss Commission of Financial Standardisation (SCFS).</w:t>
      </w:r>
    </w:p>
    <w:p w14:paraId="7E4A2F1A" w14:textId="77777777" w:rsidR="00854FA6" w:rsidRDefault="00854FA6" w:rsidP="00854FA6">
      <w:pPr>
        <w:numPr>
          <w:ilvl w:val="0"/>
          <w:numId w:val="6"/>
        </w:numPr>
        <w:rPr>
          <w:b/>
          <w:lang w:val="en-GB"/>
        </w:rPr>
      </w:pPr>
      <w:r>
        <w:rPr>
          <w:b/>
          <w:lang w:val="en-GB"/>
        </w:rPr>
        <w:t>Related m</w:t>
      </w:r>
      <w:r w:rsidRPr="00451986">
        <w:rPr>
          <w:b/>
          <w:lang w:val="en-GB"/>
        </w:rPr>
        <w:t>essages:</w:t>
      </w:r>
    </w:p>
    <w:p w14:paraId="7EFDE876" w14:textId="77777777" w:rsidR="00B87B48" w:rsidRDefault="00B87B48" w:rsidP="00B87B48">
      <w:pPr>
        <w:numPr>
          <w:ilvl w:val="0"/>
          <w:numId w:val="17"/>
        </w:numPr>
        <w:rPr>
          <w:lang w:val="en-GB"/>
        </w:rPr>
      </w:pPr>
      <w:r>
        <w:rPr>
          <w:lang w:val="en-GB"/>
        </w:rPr>
        <w:t>SETR.01</w:t>
      </w:r>
      <w:r w:rsidR="00607202">
        <w:rPr>
          <w:lang w:val="en-GB"/>
        </w:rPr>
        <w:t>6</w:t>
      </w:r>
      <w:r>
        <w:rPr>
          <w:lang w:val="en-GB"/>
        </w:rPr>
        <w:t>.001</w:t>
      </w:r>
      <w:r w:rsidR="00607202">
        <w:rPr>
          <w:lang w:val="en-GB"/>
        </w:rPr>
        <w:t>.04</w:t>
      </w:r>
    </w:p>
    <w:p w14:paraId="6DCBE5FC" w14:textId="77777777" w:rsidR="00854FA6" w:rsidRDefault="006D4A37" w:rsidP="00854FA6">
      <w:pPr>
        <w:numPr>
          <w:ilvl w:val="0"/>
          <w:numId w:val="6"/>
        </w:numPr>
        <w:rPr>
          <w:lang w:val="en-GB"/>
        </w:rPr>
      </w:pPr>
      <w:r>
        <w:rPr>
          <w:b/>
          <w:lang w:val="en-GB"/>
        </w:rPr>
        <w:t>Description of the change request:</w:t>
      </w:r>
    </w:p>
    <w:p w14:paraId="4242DCC6" w14:textId="77777777" w:rsidR="00E65839" w:rsidRDefault="00E65839" w:rsidP="00E65839">
      <w:pPr>
        <w:rPr>
          <w:lang w:val="en-GB"/>
        </w:rPr>
      </w:pPr>
      <w:r>
        <w:rPr>
          <w:lang w:val="en-GB"/>
        </w:rPr>
        <w:t xml:space="preserve">With this request the rejection reason code </w:t>
      </w:r>
      <w:r w:rsidR="00A43D9E">
        <w:rPr>
          <w:lang w:val="en-GB"/>
        </w:rPr>
        <w:t>NRGM</w:t>
      </w:r>
      <w:r>
        <w:rPr>
          <w:lang w:val="en-GB"/>
        </w:rPr>
        <w:t xml:space="preserve"> </w:t>
      </w:r>
      <w:r>
        <w:rPr>
          <w:rFonts w:ascii="Arial" w:hAnsi="Arial" w:cs="Arial"/>
          <w:sz w:val="20"/>
        </w:rPr>
        <w:t>(</w:t>
      </w:r>
      <w:r w:rsidR="00A43D9E">
        <w:rPr>
          <w:rFonts w:ascii="Arial" w:hAnsi="Arial" w:cs="Arial"/>
          <w:sz w:val="20"/>
        </w:rPr>
        <w:t>NoCancellationMatch</w:t>
      </w:r>
      <w:r>
        <w:rPr>
          <w:rStyle w:val="ng-binding"/>
        </w:rPr>
        <w:t>)</w:t>
      </w:r>
      <w:r>
        <w:rPr>
          <w:rFonts w:ascii="Arial" w:hAnsi="Arial" w:cs="Arial"/>
          <w:sz w:val="20"/>
        </w:rPr>
        <w:t xml:space="preserve"> </w:t>
      </w:r>
      <w:r>
        <w:rPr>
          <w:lang w:val="en-GB"/>
        </w:rPr>
        <w:t xml:space="preserve">should be </w:t>
      </w:r>
      <w:r w:rsidR="00A43D9E">
        <w:rPr>
          <w:lang w:val="en-GB"/>
        </w:rPr>
        <w:t>removed from</w:t>
      </w:r>
      <w:r>
        <w:rPr>
          <w:lang w:val="en-GB"/>
        </w:rPr>
        <w:t xml:space="preserve"> the SETR.01</w:t>
      </w:r>
      <w:r w:rsidR="00A43D9E">
        <w:rPr>
          <w:lang w:val="en-GB"/>
        </w:rPr>
        <w:t>6</w:t>
      </w:r>
      <w:r>
        <w:rPr>
          <w:lang w:val="en-GB"/>
        </w:rPr>
        <w:t xml:space="preserve"> message. </w:t>
      </w:r>
    </w:p>
    <w:p w14:paraId="1A1C64E2" w14:textId="77777777" w:rsidR="00607202" w:rsidRDefault="00607202" w:rsidP="00E65839">
      <w:pPr>
        <w:rPr>
          <w:lang w:val="en-GB"/>
        </w:rPr>
      </w:pPr>
      <w:r>
        <w:rPr>
          <w:lang w:val="en-GB"/>
        </w:rPr>
        <w:t>Three applicable e</w:t>
      </w:r>
      <w:r w:rsidR="00E65839">
        <w:rPr>
          <w:lang w:val="en-GB"/>
        </w:rPr>
        <w:t>lement path</w:t>
      </w:r>
      <w:r>
        <w:rPr>
          <w:lang w:val="en-GB"/>
        </w:rPr>
        <w:t>s</w:t>
      </w:r>
      <w:r w:rsidR="00E65839">
        <w:rPr>
          <w:lang w:val="en-GB"/>
        </w:rPr>
        <w:t xml:space="preserve">: </w:t>
      </w:r>
    </w:p>
    <w:p w14:paraId="4E56FA7B" w14:textId="77777777" w:rsidR="00607202" w:rsidRDefault="00607202" w:rsidP="001A5215">
      <w:pPr>
        <w:numPr>
          <w:ilvl w:val="0"/>
          <w:numId w:val="17"/>
        </w:numPr>
        <w:rPr>
          <w:lang w:val="en-GB"/>
        </w:rPr>
      </w:pPr>
      <w:r w:rsidRPr="00607202">
        <w:rPr>
          <w:lang w:val="en-GB"/>
        </w:rPr>
        <w:t>Document/OrdrInstrStsRpt/StsRpt/OrdrDtlsRpt/OrdrSts/Rjctd/Rsn/Cd</w:t>
      </w:r>
    </w:p>
    <w:p w14:paraId="79D42C5A" w14:textId="77777777" w:rsidR="00607202" w:rsidRDefault="00607202" w:rsidP="001A5215">
      <w:pPr>
        <w:numPr>
          <w:ilvl w:val="0"/>
          <w:numId w:val="17"/>
        </w:numPr>
        <w:rPr>
          <w:lang w:val="en-GB"/>
        </w:rPr>
      </w:pPr>
      <w:r w:rsidRPr="00607202">
        <w:rPr>
          <w:lang w:val="en-GB"/>
        </w:rPr>
        <w:t>Document/OrdrInstrStsRpt/StsRpt/IndvOrdrDtlsRpt/OrdrSts/Rjctd/Rsn/Cd</w:t>
      </w:r>
    </w:p>
    <w:p w14:paraId="5BB67992" w14:textId="77777777" w:rsidR="00607202" w:rsidRDefault="00607202" w:rsidP="001A5215">
      <w:pPr>
        <w:numPr>
          <w:ilvl w:val="0"/>
          <w:numId w:val="17"/>
        </w:numPr>
        <w:rPr>
          <w:lang w:val="en-GB"/>
        </w:rPr>
      </w:pPr>
      <w:r w:rsidRPr="00607202">
        <w:rPr>
          <w:lang w:val="en-GB"/>
        </w:rPr>
        <w:t>Document/OrdrInstrStsRpt/StsRpt/SwtchOrdrDtlsRpt/OrdrSts/Rjctd/Rsn/Cd</w:t>
      </w:r>
    </w:p>
    <w:p w14:paraId="0262C011"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16F007A" w14:textId="77777777" w:rsidR="00E65839" w:rsidRDefault="00E65839" w:rsidP="00577861">
      <w:pPr>
        <w:rPr>
          <w:lang w:val="en-GB"/>
        </w:rPr>
      </w:pPr>
      <w:r>
        <w:rPr>
          <w:lang w:val="en-GB"/>
        </w:rPr>
        <w:t>Currently the rejection reason code</w:t>
      </w:r>
      <w:r w:rsidR="002F42AB">
        <w:rPr>
          <w:lang w:val="en-GB"/>
        </w:rPr>
        <w:t xml:space="preserve"> NRGM (NoCancellationMatch) exists in the </w:t>
      </w:r>
      <w:r>
        <w:rPr>
          <w:lang w:val="en-GB"/>
        </w:rPr>
        <w:t xml:space="preserve">SETR.016 messages </w:t>
      </w:r>
      <w:r w:rsidR="002F42AB">
        <w:rPr>
          <w:lang w:val="en-GB"/>
        </w:rPr>
        <w:t>(OrderInstructionStatusReport) which does not make sense for this message as it is only needed in the according reply message for cancellation requests which would be the SETR.017 message (OrderCancellationStatusReport)</w:t>
      </w:r>
      <w:r>
        <w:rPr>
          <w:lang w:val="en-GB"/>
        </w:rPr>
        <w:t>.</w:t>
      </w:r>
    </w:p>
    <w:p w14:paraId="3A7219EC"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65935CC" w14:textId="77777777" w:rsidR="00CB683A" w:rsidRPr="009175AF" w:rsidRDefault="00E65839" w:rsidP="00F34C66">
      <w:pPr>
        <w:rPr>
          <w:szCs w:val="24"/>
          <w:lang w:val="en-GB"/>
        </w:rPr>
      </w:pPr>
      <w:r>
        <w:rPr>
          <w:szCs w:val="24"/>
          <w:lang w:val="en-GB"/>
        </w:rPr>
        <w:t>Subject to normal maintenance cycle.</w:t>
      </w:r>
    </w:p>
    <w:p w14:paraId="67719C63"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C897489" w14:textId="77777777" w:rsidR="005B6FD2" w:rsidRDefault="00B20376" w:rsidP="005B6FD2">
      <w:pPr>
        <w:rPr>
          <w:lang w:val="en-GB"/>
        </w:rPr>
      </w:pPr>
      <w:r>
        <w:rPr>
          <w:lang w:val="en-GB"/>
        </w:rPr>
        <w:t>Existing</w:t>
      </w:r>
      <w:r w:rsidR="005B6FD2">
        <w:rPr>
          <w:lang w:val="en-GB"/>
        </w:rPr>
        <w:t xml:space="preserve"> </w:t>
      </w:r>
      <w:r>
        <w:rPr>
          <w:lang w:val="en-GB"/>
        </w:rPr>
        <w:t>rejection reason codes</w:t>
      </w:r>
      <w:r w:rsidR="005B6FD2">
        <w:rPr>
          <w:lang w:val="en-GB"/>
        </w:rPr>
        <w:t xml:space="preserve"> on SETR.016 message</w:t>
      </w:r>
      <w:r w:rsidR="00AB1C0F">
        <w:rPr>
          <w:lang w:val="en-GB"/>
        </w:rPr>
        <w:t xml:space="preserve"> (</w:t>
      </w:r>
      <w:r w:rsidR="002F42AB">
        <w:rPr>
          <w:lang w:val="en-GB"/>
        </w:rPr>
        <w:t>NRGM</w:t>
      </w:r>
      <w:r w:rsidR="00AB1C0F">
        <w:rPr>
          <w:lang w:val="en-GB"/>
        </w:rPr>
        <w:t xml:space="preserve"> included)</w:t>
      </w:r>
      <w:r w:rsidR="005B6FD2">
        <w:rPr>
          <w:lang w:val="en-GB"/>
        </w:rPr>
        <w:t>:</w:t>
      </w:r>
    </w:p>
    <w:p w14:paraId="104854D5" w14:textId="77777777" w:rsidR="005B6FD2" w:rsidRDefault="00E80552" w:rsidP="005B6FD2">
      <w:pPr>
        <w:rPr>
          <w:noProof/>
        </w:rPr>
      </w:pPr>
      <w:r w:rsidRPr="008B12E1">
        <w:rPr>
          <w:noProof/>
          <w:lang w:val="en-GB" w:eastAsia="en-GB"/>
        </w:rPr>
        <w:drawing>
          <wp:inline distT="0" distB="0" distL="0" distR="0" wp14:anchorId="231EB7FE" wp14:editId="6C85439E">
            <wp:extent cx="5305425" cy="6086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3890" t="12704" r="20200"/>
                    <a:stretch>
                      <a:fillRect/>
                    </a:stretch>
                  </pic:blipFill>
                  <pic:spPr bwMode="auto">
                    <a:xfrm>
                      <a:off x="0" y="0"/>
                      <a:ext cx="5305425" cy="6086475"/>
                    </a:xfrm>
                    <a:prstGeom prst="rect">
                      <a:avLst/>
                    </a:prstGeom>
                    <a:noFill/>
                    <a:ln>
                      <a:noFill/>
                    </a:ln>
                  </pic:spPr>
                </pic:pic>
              </a:graphicData>
            </a:graphic>
          </wp:inline>
        </w:drawing>
      </w:r>
    </w:p>
    <w:p w14:paraId="41EB3789" w14:textId="77777777" w:rsidR="002F42AB" w:rsidRDefault="00E80552" w:rsidP="005B6FD2">
      <w:pPr>
        <w:rPr>
          <w:noProof/>
        </w:rPr>
      </w:pPr>
      <w:r w:rsidRPr="008B12E1">
        <w:rPr>
          <w:noProof/>
          <w:lang w:val="en-GB" w:eastAsia="en-GB"/>
        </w:rPr>
        <w:lastRenderedPageBreak/>
        <w:drawing>
          <wp:inline distT="0" distB="0" distL="0" distR="0" wp14:anchorId="4F7FF504" wp14:editId="7AE77497">
            <wp:extent cx="4371975" cy="61436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33055" t="11879" r="29216"/>
                    <a:stretch>
                      <a:fillRect/>
                    </a:stretch>
                  </pic:blipFill>
                  <pic:spPr bwMode="auto">
                    <a:xfrm>
                      <a:off x="0" y="0"/>
                      <a:ext cx="4371975" cy="6143625"/>
                    </a:xfrm>
                    <a:prstGeom prst="rect">
                      <a:avLst/>
                    </a:prstGeom>
                    <a:noFill/>
                    <a:ln>
                      <a:noFill/>
                    </a:ln>
                  </pic:spPr>
                </pic:pic>
              </a:graphicData>
            </a:graphic>
          </wp:inline>
        </w:drawing>
      </w:r>
    </w:p>
    <w:p w14:paraId="77BE5989" w14:textId="77777777" w:rsidR="006B1061" w:rsidRPr="005B6FD2" w:rsidRDefault="006B1061" w:rsidP="005B6FD2">
      <w:pPr>
        <w:rPr>
          <w:lang w:val="en-GB"/>
        </w:rPr>
      </w:pPr>
    </w:p>
    <w:p w14:paraId="5C7DC3A5"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5FC779E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29CF235"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7B77F38E" w14:textId="77777777" w:rsidTr="00130EB9">
        <w:trPr>
          <w:gridAfter w:val="3"/>
          <w:wAfter w:w="5623" w:type="dxa"/>
        </w:trPr>
        <w:tc>
          <w:tcPr>
            <w:tcW w:w="1242" w:type="dxa"/>
            <w:gridSpan w:val="2"/>
          </w:tcPr>
          <w:p w14:paraId="5A0499D1" w14:textId="77777777" w:rsidR="00C40729" w:rsidRPr="00E3221E" w:rsidRDefault="00C40729" w:rsidP="0025138E">
            <w:pPr>
              <w:rPr>
                <w:b/>
                <w:szCs w:val="24"/>
                <w:lang w:val="en-GB"/>
              </w:rPr>
            </w:pPr>
            <w:r w:rsidRPr="00E3221E">
              <w:rPr>
                <w:b/>
                <w:szCs w:val="24"/>
                <w:lang w:val="en-GB"/>
              </w:rPr>
              <w:t>Consider</w:t>
            </w:r>
          </w:p>
        </w:tc>
        <w:tc>
          <w:tcPr>
            <w:tcW w:w="567" w:type="dxa"/>
          </w:tcPr>
          <w:p w14:paraId="7D8DDA77" w14:textId="77777777" w:rsidR="00C40729" w:rsidRPr="00AD7CD5" w:rsidRDefault="00383FD7"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4602FB85" w14:textId="77777777" w:rsidR="00C40729" w:rsidRPr="00E3221E" w:rsidRDefault="00C40729" w:rsidP="0025138E">
            <w:pPr>
              <w:rPr>
                <w:b/>
                <w:szCs w:val="24"/>
                <w:lang w:val="en-GB"/>
              </w:rPr>
            </w:pPr>
            <w:r w:rsidRPr="00E3221E">
              <w:rPr>
                <w:b/>
                <w:szCs w:val="24"/>
                <w:lang w:val="en-GB"/>
              </w:rPr>
              <w:t>Timing</w:t>
            </w:r>
          </w:p>
        </w:tc>
      </w:tr>
      <w:tr w:rsidR="00130EB9" w:rsidRPr="006D7FF8" w14:paraId="5D893A01" w14:textId="77777777" w:rsidTr="00130EB9">
        <w:trPr>
          <w:gridBefore w:val="1"/>
          <w:gridAfter w:val="1"/>
          <w:wBefore w:w="1059" w:type="dxa"/>
          <w:wAfter w:w="945" w:type="dxa"/>
          <w:trHeight w:val="501"/>
        </w:trPr>
        <w:tc>
          <w:tcPr>
            <w:tcW w:w="750" w:type="dxa"/>
            <w:gridSpan w:val="2"/>
            <w:tcBorders>
              <w:left w:val="nil"/>
              <w:bottom w:val="nil"/>
            </w:tcBorders>
          </w:tcPr>
          <w:p w14:paraId="43C79169" w14:textId="77777777" w:rsidR="00130EB9" w:rsidRDefault="00130EB9" w:rsidP="0025138E">
            <w:pPr>
              <w:rPr>
                <w:szCs w:val="24"/>
                <w:lang w:val="en-GB"/>
              </w:rPr>
            </w:pPr>
          </w:p>
        </w:tc>
        <w:tc>
          <w:tcPr>
            <w:tcW w:w="5954" w:type="dxa"/>
            <w:gridSpan w:val="2"/>
          </w:tcPr>
          <w:p w14:paraId="5A2248AD"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704B0563"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091AA06D" w14:textId="77777777" w:rsidR="00130EB9" w:rsidRPr="00AD7CD5" w:rsidRDefault="00130EB9" w:rsidP="0025138E">
            <w:pPr>
              <w:spacing w:before="0"/>
              <w:jc w:val="both"/>
              <w:rPr>
                <w:color w:val="FF0000"/>
                <w:szCs w:val="24"/>
                <w:lang w:val="en-GB"/>
              </w:rPr>
            </w:pPr>
          </w:p>
        </w:tc>
      </w:tr>
      <w:tr w:rsidR="00C40729" w:rsidRPr="006D7FF8" w14:paraId="45F86A7E" w14:textId="77777777" w:rsidTr="00130EB9">
        <w:trPr>
          <w:gridBefore w:val="1"/>
          <w:gridAfter w:val="1"/>
          <w:wBefore w:w="1059" w:type="dxa"/>
          <w:wAfter w:w="945" w:type="dxa"/>
          <w:trHeight w:val="501"/>
        </w:trPr>
        <w:tc>
          <w:tcPr>
            <w:tcW w:w="750" w:type="dxa"/>
            <w:gridSpan w:val="2"/>
            <w:tcBorders>
              <w:top w:val="nil"/>
              <w:left w:val="nil"/>
              <w:bottom w:val="nil"/>
            </w:tcBorders>
          </w:tcPr>
          <w:p w14:paraId="74833258" w14:textId="77777777" w:rsidR="00C40729" w:rsidRDefault="00C40729" w:rsidP="0025138E">
            <w:pPr>
              <w:spacing w:before="0"/>
              <w:rPr>
                <w:szCs w:val="24"/>
                <w:lang w:val="en-GB"/>
              </w:rPr>
            </w:pPr>
          </w:p>
        </w:tc>
        <w:tc>
          <w:tcPr>
            <w:tcW w:w="5954" w:type="dxa"/>
            <w:gridSpan w:val="2"/>
          </w:tcPr>
          <w:p w14:paraId="682F4F14"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9F9AEDE"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7AB67D78" w14:textId="77777777" w:rsidR="00C40729" w:rsidRPr="00AD7CD5" w:rsidRDefault="00383FD7" w:rsidP="0025138E">
            <w:pPr>
              <w:spacing w:before="0"/>
              <w:jc w:val="center"/>
              <w:rPr>
                <w:color w:val="FF0000"/>
                <w:szCs w:val="24"/>
                <w:lang w:val="en-GB"/>
              </w:rPr>
            </w:pPr>
            <w:r>
              <w:rPr>
                <w:color w:val="FF0000"/>
                <w:szCs w:val="24"/>
                <w:lang w:val="en-GB"/>
              </w:rPr>
              <w:t>X</w:t>
            </w:r>
          </w:p>
        </w:tc>
      </w:tr>
      <w:tr w:rsidR="00C40729" w:rsidRPr="006D7FF8" w14:paraId="1385EED1" w14:textId="77777777" w:rsidTr="00130EB9">
        <w:trPr>
          <w:gridBefore w:val="1"/>
          <w:wBefore w:w="1059" w:type="dxa"/>
          <w:trHeight w:val="511"/>
        </w:trPr>
        <w:tc>
          <w:tcPr>
            <w:tcW w:w="750" w:type="dxa"/>
            <w:gridSpan w:val="2"/>
            <w:tcBorders>
              <w:top w:val="nil"/>
              <w:left w:val="nil"/>
              <w:bottom w:val="nil"/>
            </w:tcBorders>
          </w:tcPr>
          <w:p w14:paraId="661A2E06" w14:textId="77777777" w:rsidR="00C40729" w:rsidRDefault="00C40729" w:rsidP="0025138E">
            <w:pPr>
              <w:spacing w:before="0"/>
              <w:rPr>
                <w:szCs w:val="24"/>
                <w:lang w:val="en-GB"/>
              </w:rPr>
            </w:pPr>
          </w:p>
        </w:tc>
        <w:tc>
          <w:tcPr>
            <w:tcW w:w="5954" w:type="dxa"/>
            <w:gridSpan w:val="2"/>
          </w:tcPr>
          <w:p w14:paraId="15649C9C"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4FD8CCE3"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4B38ED7E"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1FBCA1F" w14:textId="77777777" w:rsidR="00C40729" w:rsidRDefault="00C40729" w:rsidP="0025138E">
            <w:pPr>
              <w:ind w:left="360"/>
              <w:jc w:val="both"/>
              <w:rPr>
                <w:szCs w:val="24"/>
                <w:lang w:val="en-GB"/>
              </w:rPr>
            </w:pPr>
          </w:p>
        </w:tc>
      </w:tr>
      <w:tr w:rsidR="00C40729" w:rsidRPr="006D7FF8" w14:paraId="1C62461B" w14:textId="77777777" w:rsidTr="00130EB9">
        <w:trPr>
          <w:gridBefore w:val="1"/>
          <w:wBefore w:w="1059" w:type="dxa"/>
          <w:trHeight w:val="511"/>
        </w:trPr>
        <w:tc>
          <w:tcPr>
            <w:tcW w:w="750" w:type="dxa"/>
            <w:gridSpan w:val="2"/>
            <w:tcBorders>
              <w:top w:val="nil"/>
              <w:left w:val="nil"/>
              <w:bottom w:val="nil"/>
            </w:tcBorders>
          </w:tcPr>
          <w:p w14:paraId="14277C74" w14:textId="77777777" w:rsidR="00C40729" w:rsidRDefault="00C40729" w:rsidP="0025138E">
            <w:pPr>
              <w:spacing w:before="0"/>
              <w:rPr>
                <w:szCs w:val="24"/>
                <w:lang w:val="en-GB"/>
              </w:rPr>
            </w:pPr>
          </w:p>
        </w:tc>
        <w:tc>
          <w:tcPr>
            <w:tcW w:w="6379" w:type="dxa"/>
            <w:gridSpan w:val="3"/>
          </w:tcPr>
          <w:p w14:paraId="49DE2E47"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6BA24636" w14:textId="77777777" w:rsidR="00C40729" w:rsidRDefault="00C40729" w:rsidP="0025138E">
            <w:pPr>
              <w:ind w:left="360"/>
              <w:jc w:val="both"/>
              <w:rPr>
                <w:szCs w:val="24"/>
                <w:lang w:val="en-GB"/>
              </w:rPr>
            </w:pPr>
          </w:p>
          <w:p w14:paraId="4B6C7F73" w14:textId="77777777" w:rsidR="00C40729" w:rsidRDefault="00C40729" w:rsidP="0025138E">
            <w:pPr>
              <w:ind w:left="360"/>
              <w:jc w:val="both"/>
              <w:rPr>
                <w:szCs w:val="24"/>
                <w:lang w:val="en-GB"/>
              </w:rPr>
            </w:pPr>
          </w:p>
        </w:tc>
      </w:tr>
    </w:tbl>
    <w:p w14:paraId="01283FCC" w14:textId="77777777" w:rsidR="00C41DDB" w:rsidRDefault="00C41DDB" w:rsidP="00567F13">
      <w:pPr>
        <w:rPr>
          <w:szCs w:val="24"/>
          <w:lang w:val="en-GB"/>
        </w:rPr>
      </w:pPr>
      <w:r>
        <w:rPr>
          <w:szCs w:val="24"/>
          <w:lang w:val="en-GB"/>
        </w:rPr>
        <w:t>Comments:</w:t>
      </w:r>
    </w:p>
    <w:p w14:paraId="00241B41" w14:textId="0E44BD6B" w:rsidR="00C41DDB" w:rsidRPr="00E411D6" w:rsidRDefault="00E411D6" w:rsidP="00C41DDB">
      <w:pPr>
        <w:rPr>
          <w:color w:val="FF0000"/>
          <w:szCs w:val="24"/>
          <w:lang w:val="en-GB"/>
        </w:rPr>
      </w:pPr>
      <w:r w:rsidRPr="00495D54">
        <w:rPr>
          <w:color w:val="FF0000"/>
          <w:szCs w:val="24"/>
          <w:lang w:val="en-GB"/>
        </w:rPr>
        <w:t>Maintenance 2025/2026: consider.</w:t>
      </w:r>
    </w:p>
    <w:p w14:paraId="04362B30"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384C8E6A" w14:textId="77777777" w:rsidTr="00C40729">
        <w:tc>
          <w:tcPr>
            <w:tcW w:w="1242" w:type="dxa"/>
          </w:tcPr>
          <w:p w14:paraId="2D23939C" w14:textId="77777777" w:rsidR="00C41DDB" w:rsidRPr="00E3221E" w:rsidRDefault="00C41DDB" w:rsidP="00C41DDB">
            <w:pPr>
              <w:rPr>
                <w:b/>
                <w:szCs w:val="24"/>
                <w:lang w:val="en-GB"/>
              </w:rPr>
            </w:pPr>
            <w:r w:rsidRPr="00E3221E">
              <w:rPr>
                <w:b/>
                <w:szCs w:val="24"/>
                <w:lang w:val="en-GB"/>
              </w:rPr>
              <w:t>Reject</w:t>
            </w:r>
          </w:p>
        </w:tc>
        <w:tc>
          <w:tcPr>
            <w:tcW w:w="567" w:type="dxa"/>
          </w:tcPr>
          <w:p w14:paraId="48E29A76" w14:textId="77777777" w:rsidR="00C41DDB" w:rsidRPr="00AD7CD5" w:rsidRDefault="00C41DDB" w:rsidP="00C41DDB">
            <w:pPr>
              <w:rPr>
                <w:color w:val="FF0000"/>
                <w:szCs w:val="24"/>
                <w:lang w:val="en-GB"/>
              </w:rPr>
            </w:pPr>
          </w:p>
        </w:tc>
      </w:tr>
    </w:tbl>
    <w:p w14:paraId="6C004169"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3ACB" w14:textId="77777777" w:rsidR="00A66C33" w:rsidRDefault="00A66C33">
      <w:r>
        <w:separator/>
      </w:r>
    </w:p>
  </w:endnote>
  <w:endnote w:type="continuationSeparator" w:id="0">
    <w:p w14:paraId="27B235E9" w14:textId="77777777" w:rsidR="00A66C33" w:rsidRDefault="00A66C33">
      <w:r>
        <w:continuationSeparator/>
      </w:r>
    </w:p>
  </w:endnote>
  <w:endnote w:type="continuationNotice" w:id="1">
    <w:p w14:paraId="538E8E33" w14:textId="77777777" w:rsidR="000E3DFF" w:rsidRDefault="000E3DF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BD15"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DEC5" w14:textId="2FF48615" w:rsidR="00567F13" w:rsidRDefault="000B6EC1">
    <w:pPr>
      <w:pStyle w:val="Footer"/>
      <w:rPr>
        <w:rStyle w:val="PageNumber"/>
      </w:rPr>
    </w:pPr>
    <w:r>
      <w:t>CR0846_SCFS_IF_setr_NRGM_v</w:t>
    </w:r>
    <w:r w:rsidR="00E411D6">
      <w:t>2</w:t>
    </w:r>
    <w:r w:rsidR="00567F13">
      <w:tab/>
      <w:t xml:space="preserve">Produced by </w:t>
    </w:r>
    <w:r>
      <w:t xml:space="preserve">SCFS on 18 </w:t>
    </w:r>
    <w:proofErr w:type="gramStart"/>
    <w:r>
      <w:t>may</w:t>
    </w:r>
    <w:proofErr w:type="gramEnd"/>
    <w:r>
      <w:t xml:space="preserve"> 2020</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383FD7">
      <w:rPr>
        <w:rStyle w:val="PageNumber"/>
        <w:noProof/>
      </w:rPr>
      <w:t>4</w:t>
    </w:r>
    <w:r w:rsidR="00567F13">
      <w:rPr>
        <w:rStyle w:val="PageNumber"/>
      </w:rPr>
      <w:fldChar w:fldCharType="end"/>
    </w:r>
  </w:p>
  <w:p w14:paraId="5F75D8D2" w14:textId="77777777" w:rsidR="00567F13" w:rsidRDefault="00567F13">
    <w:pPr>
      <w:pStyle w:val="Footer"/>
      <w:rPr>
        <w:rStyle w:val="PageNumber"/>
      </w:rPr>
    </w:pPr>
  </w:p>
  <w:p w14:paraId="470BE567"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D4F4"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BE5A" w14:textId="77777777" w:rsidR="00A66C33" w:rsidRDefault="00A66C33">
      <w:r>
        <w:separator/>
      </w:r>
    </w:p>
  </w:footnote>
  <w:footnote w:type="continuationSeparator" w:id="0">
    <w:p w14:paraId="4EDA8002" w14:textId="77777777" w:rsidR="00A66C33" w:rsidRDefault="00A66C33">
      <w:r>
        <w:continuationSeparator/>
      </w:r>
    </w:p>
  </w:footnote>
  <w:footnote w:type="continuationNotice" w:id="1">
    <w:p w14:paraId="57BB6CCF" w14:textId="77777777" w:rsidR="000E3DFF" w:rsidRDefault="000E3DF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6E77"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36F7" w14:textId="77777777" w:rsidR="000B6EC1" w:rsidRPr="00D8718F" w:rsidRDefault="00801493" w:rsidP="000B6EC1">
    <w:pPr>
      <w:pStyle w:val="Header"/>
      <w:rPr>
        <w:lang w:val="en-GB"/>
      </w:rPr>
    </w:pPr>
    <w:r>
      <w:rPr>
        <w:lang w:val="fr-BE"/>
      </w:rPr>
      <w:t xml:space="preserve">RA ID : </w:t>
    </w:r>
    <w:r w:rsidR="000B6EC1">
      <w:rPr>
        <w:lang w:val="fr-BE"/>
      </w:rPr>
      <w:t>CR</w:t>
    </w:r>
    <w:r w:rsidR="000B6EC1">
      <w:rPr>
        <w:lang w:val="en-GB"/>
      </w:rPr>
      <w:t>0846</w:t>
    </w:r>
  </w:p>
  <w:p w14:paraId="3D587C8B" w14:textId="77777777" w:rsidR="00E74C04" w:rsidRPr="00801493" w:rsidRDefault="00E74C04">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2DF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F531B8"/>
    <w:multiLevelType w:val="hybridMultilevel"/>
    <w:tmpl w:val="256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5BE1"/>
    <w:multiLevelType w:val="hybridMultilevel"/>
    <w:tmpl w:val="33DC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94237E"/>
    <w:multiLevelType w:val="hybridMultilevel"/>
    <w:tmpl w:val="61EA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921854">
    <w:abstractNumId w:val="2"/>
  </w:num>
  <w:num w:numId="2" w16cid:durableId="1954432045">
    <w:abstractNumId w:val="0"/>
  </w:num>
  <w:num w:numId="3" w16cid:durableId="1951086266">
    <w:abstractNumId w:val="1"/>
  </w:num>
  <w:num w:numId="4" w16cid:durableId="1009873070">
    <w:abstractNumId w:val="3"/>
  </w:num>
  <w:num w:numId="5" w16cid:durableId="530461096">
    <w:abstractNumId w:val="17"/>
  </w:num>
  <w:num w:numId="6" w16cid:durableId="1897743865">
    <w:abstractNumId w:val="9"/>
  </w:num>
  <w:num w:numId="7" w16cid:durableId="2010525086">
    <w:abstractNumId w:val="13"/>
  </w:num>
  <w:num w:numId="8" w16cid:durableId="1373186779">
    <w:abstractNumId w:val="10"/>
  </w:num>
  <w:num w:numId="9" w16cid:durableId="1161652136">
    <w:abstractNumId w:val="16"/>
  </w:num>
  <w:num w:numId="10" w16cid:durableId="1712799307">
    <w:abstractNumId w:val="6"/>
  </w:num>
  <w:num w:numId="11" w16cid:durableId="1060712823">
    <w:abstractNumId w:val="8"/>
  </w:num>
  <w:num w:numId="12" w16cid:durableId="2009870010">
    <w:abstractNumId w:val="11"/>
  </w:num>
  <w:num w:numId="13" w16cid:durableId="632246976">
    <w:abstractNumId w:val="4"/>
  </w:num>
  <w:num w:numId="14" w16cid:durableId="1542983449">
    <w:abstractNumId w:val="7"/>
  </w:num>
  <w:num w:numId="15" w16cid:durableId="844979657">
    <w:abstractNumId w:val="15"/>
  </w:num>
  <w:num w:numId="16" w16cid:durableId="1532375414">
    <w:abstractNumId w:val="14"/>
  </w:num>
  <w:num w:numId="17" w16cid:durableId="1894385623">
    <w:abstractNumId w:val="18"/>
  </w:num>
  <w:num w:numId="18" w16cid:durableId="699666658">
    <w:abstractNumId w:val="12"/>
  </w:num>
  <w:num w:numId="19" w16cid:durableId="1033337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E2"/>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B6EC1"/>
    <w:rsid w:val="000C015D"/>
    <w:rsid w:val="000D5D39"/>
    <w:rsid w:val="000E2471"/>
    <w:rsid w:val="000E3DFF"/>
    <w:rsid w:val="000E7941"/>
    <w:rsid w:val="000F3C8B"/>
    <w:rsid w:val="000F43E3"/>
    <w:rsid w:val="00101212"/>
    <w:rsid w:val="00101D5F"/>
    <w:rsid w:val="00105754"/>
    <w:rsid w:val="00126042"/>
    <w:rsid w:val="00130EB9"/>
    <w:rsid w:val="0014379C"/>
    <w:rsid w:val="00153ED1"/>
    <w:rsid w:val="00163DB3"/>
    <w:rsid w:val="001711D3"/>
    <w:rsid w:val="00185453"/>
    <w:rsid w:val="00185E8E"/>
    <w:rsid w:val="001A5215"/>
    <w:rsid w:val="001B1858"/>
    <w:rsid w:val="001D0D1B"/>
    <w:rsid w:val="001D176B"/>
    <w:rsid w:val="001D20B3"/>
    <w:rsid w:val="001E287E"/>
    <w:rsid w:val="001E2B1C"/>
    <w:rsid w:val="001E3BCF"/>
    <w:rsid w:val="002152E4"/>
    <w:rsid w:val="002170E5"/>
    <w:rsid w:val="00217122"/>
    <w:rsid w:val="00217AE9"/>
    <w:rsid w:val="00225AA9"/>
    <w:rsid w:val="00230574"/>
    <w:rsid w:val="00231CFF"/>
    <w:rsid w:val="002472D9"/>
    <w:rsid w:val="002509A2"/>
    <w:rsid w:val="0025138E"/>
    <w:rsid w:val="002521C9"/>
    <w:rsid w:val="002659C3"/>
    <w:rsid w:val="002711E6"/>
    <w:rsid w:val="002904C8"/>
    <w:rsid w:val="002A33E0"/>
    <w:rsid w:val="002B0567"/>
    <w:rsid w:val="002D549A"/>
    <w:rsid w:val="002E014D"/>
    <w:rsid w:val="002E27A9"/>
    <w:rsid w:val="002F42AB"/>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3FD7"/>
    <w:rsid w:val="00386B78"/>
    <w:rsid w:val="00391D9A"/>
    <w:rsid w:val="003A1EBF"/>
    <w:rsid w:val="003A3D7D"/>
    <w:rsid w:val="003B1EC1"/>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E1F21"/>
    <w:rsid w:val="004F0578"/>
    <w:rsid w:val="004F0934"/>
    <w:rsid w:val="004F61D5"/>
    <w:rsid w:val="0050171A"/>
    <w:rsid w:val="0052302E"/>
    <w:rsid w:val="005246BE"/>
    <w:rsid w:val="005411C7"/>
    <w:rsid w:val="0055065F"/>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B6FD2"/>
    <w:rsid w:val="005C4C5F"/>
    <w:rsid w:val="005D06FE"/>
    <w:rsid w:val="005E1210"/>
    <w:rsid w:val="005E3784"/>
    <w:rsid w:val="005E46E4"/>
    <w:rsid w:val="005F05DB"/>
    <w:rsid w:val="005F2E6B"/>
    <w:rsid w:val="006043A9"/>
    <w:rsid w:val="00607202"/>
    <w:rsid w:val="00610B1B"/>
    <w:rsid w:val="00610F9A"/>
    <w:rsid w:val="006316E5"/>
    <w:rsid w:val="00631A43"/>
    <w:rsid w:val="0063312E"/>
    <w:rsid w:val="00633B0A"/>
    <w:rsid w:val="006643DC"/>
    <w:rsid w:val="00671BC2"/>
    <w:rsid w:val="006A02BC"/>
    <w:rsid w:val="006A7B96"/>
    <w:rsid w:val="006B1061"/>
    <w:rsid w:val="006B20DC"/>
    <w:rsid w:val="006D4A37"/>
    <w:rsid w:val="006E2522"/>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4788"/>
    <w:rsid w:val="008A7F65"/>
    <w:rsid w:val="008D09DB"/>
    <w:rsid w:val="008F0B5E"/>
    <w:rsid w:val="008F5C90"/>
    <w:rsid w:val="008F7185"/>
    <w:rsid w:val="00906C6A"/>
    <w:rsid w:val="00914273"/>
    <w:rsid w:val="00916A80"/>
    <w:rsid w:val="009175AF"/>
    <w:rsid w:val="009279BF"/>
    <w:rsid w:val="00937D26"/>
    <w:rsid w:val="00951C86"/>
    <w:rsid w:val="00956D7A"/>
    <w:rsid w:val="00965199"/>
    <w:rsid w:val="00966046"/>
    <w:rsid w:val="009770EE"/>
    <w:rsid w:val="009A656C"/>
    <w:rsid w:val="009C1445"/>
    <w:rsid w:val="00A10221"/>
    <w:rsid w:val="00A21B8D"/>
    <w:rsid w:val="00A22F1A"/>
    <w:rsid w:val="00A239B9"/>
    <w:rsid w:val="00A25B84"/>
    <w:rsid w:val="00A32450"/>
    <w:rsid w:val="00A43D9E"/>
    <w:rsid w:val="00A46877"/>
    <w:rsid w:val="00A47C6F"/>
    <w:rsid w:val="00A5492F"/>
    <w:rsid w:val="00A60DC3"/>
    <w:rsid w:val="00A60E56"/>
    <w:rsid w:val="00A66C33"/>
    <w:rsid w:val="00A91F56"/>
    <w:rsid w:val="00AA5E76"/>
    <w:rsid w:val="00AB1C0F"/>
    <w:rsid w:val="00AD7CD5"/>
    <w:rsid w:val="00AE0A90"/>
    <w:rsid w:val="00AE4D14"/>
    <w:rsid w:val="00AF09E1"/>
    <w:rsid w:val="00AF2EBF"/>
    <w:rsid w:val="00B01132"/>
    <w:rsid w:val="00B06CA8"/>
    <w:rsid w:val="00B20376"/>
    <w:rsid w:val="00B21761"/>
    <w:rsid w:val="00B21FA3"/>
    <w:rsid w:val="00B307A7"/>
    <w:rsid w:val="00B30D86"/>
    <w:rsid w:val="00B44DEE"/>
    <w:rsid w:val="00B45490"/>
    <w:rsid w:val="00B5520C"/>
    <w:rsid w:val="00B65C66"/>
    <w:rsid w:val="00B70B84"/>
    <w:rsid w:val="00B74C6C"/>
    <w:rsid w:val="00B83227"/>
    <w:rsid w:val="00B8336E"/>
    <w:rsid w:val="00B865DB"/>
    <w:rsid w:val="00B87B48"/>
    <w:rsid w:val="00B90C99"/>
    <w:rsid w:val="00B921E0"/>
    <w:rsid w:val="00BA1600"/>
    <w:rsid w:val="00BA611B"/>
    <w:rsid w:val="00BB7F97"/>
    <w:rsid w:val="00BC4D68"/>
    <w:rsid w:val="00BD6786"/>
    <w:rsid w:val="00BF3332"/>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5FFE"/>
    <w:rsid w:val="00D51B61"/>
    <w:rsid w:val="00D56571"/>
    <w:rsid w:val="00D666D3"/>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411D6"/>
    <w:rsid w:val="00E5111B"/>
    <w:rsid w:val="00E561E0"/>
    <w:rsid w:val="00E65839"/>
    <w:rsid w:val="00E67D1B"/>
    <w:rsid w:val="00E74C04"/>
    <w:rsid w:val="00E7537D"/>
    <w:rsid w:val="00E80552"/>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503B"/>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F32B476"/>
  <w15:chartTrackingRefBased/>
  <w15:docId w15:val="{BE54BDEF-4F3A-41D3-BFE7-D31C579B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uiPriority w:val="99"/>
    <w:semiHidden/>
    <w:unhideWhenUsed/>
    <w:rsid w:val="008F7185"/>
    <w:rPr>
      <w:color w:val="605E5C"/>
      <w:shd w:val="clear" w:color="auto" w:fill="E1DFDD"/>
    </w:rPr>
  </w:style>
  <w:style w:type="character" w:styleId="FollowedHyperlink">
    <w:name w:val="FollowedHyperlink"/>
    <w:rsid w:val="00B87B48"/>
    <w:rPr>
      <w:color w:val="954F72"/>
      <w:u w:val="single"/>
    </w:rPr>
  </w:style>
  <w:style w:type="character" w:customStyle="1" w:styleId="ng-binding">
    <w:name w:val="ng-binding"/>
    <w:rsid w:val="00E6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atthias.schindler@avaloq.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_dlc_DocId xmlns="806285ac-449a-4fb1-8311-58d88e150cc7">MSKTH6SNCJSU-234293521-45148</_dlc_DocId>
    <_dlc_DocIdUrl xmlns="806285ac-449a-4fb1-8311-58d88e150cc7">
      <Url>https://swiftcorp.sharepoint.com/sites/ps-ow-standards team/_layouts/15/DocIdRedir.aspx?ID=MSKTH6SNCJSU-234293521-45148</Url>
      <Description>MSKTH6SNCJSU-234293521-45148</Description>
    </_dlc_DocIdUrl>
    <lcf76f155ced4ddcb4097134ff3c332f xmlns="58487e4c-5d6e-4b39-a945-906c6e06729c">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4331B-6FF7-4D6B-9A9B-0344A779C4B7}">
  <ds:schemaRefs>
    <ds:schemaRef ds:uri="8e65cd91-03fa-4741-8e86-2ec75c51c475"/>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www.w3.org/XML/1998/namespace"/>
    <ds:schemaRef ds:uri="6a5e644e-d89d-4b69-a50e-059a31ca7a94"/>
    <ds:schemaRef ds:uri="http://schemas.microsoft.com/office/2006/metadata/properties"/>
    <ds:schemaRef ds:uri="http://purl.org/dc/dcmitype/"/>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982CE5CE-8861-491F-A0A5-1FE5F925BFD7}">
  <ds:schemaRefs>
    <ds:schemaRef ds:uri="http://schemas.microsoft.com/sharepoint/events"/>
  </ds:schemaRefs>
</ds:datastoreItem>
</file>

<file path=customXml/itemProps3.xml><?xml version="1.0" encoding="utf-8"?>
<ds:datastoreItem xmlns:ds="http://schemas.openxmlformats.org/officeDocument/2006/customXml" ds:itemID="{89AAF065-12F9-4C80-8BBF-E589F5ECA4B0}">
  <ds:schemaRefs>
    <ds:schemaRef ds:uri="http://schemas.microsoft.com/sharepoint/v3/contenttype/forms"/>
  </ds:schemaRefs>
</ds:datastoreItem>
</file>

<file path=customXml/itemProps4.xml><?xml version="1.0" encoding="utf-8"?>
<ds:datastoreItem xmlns:ds="http://schemas.openxmlformats.org/officeDocument/2006/customXml" ds:itemID="{B466F2D1-9915-47E3-92ED-B973BBF3C4CE}">
  <ds:schemaRefs>
    <ds:schemaRef ds:uri="http://schemas.openxmlformats.org/officeDocument/2006/bibliography"/>
  </ds:schemaRefs>
</ds:datastoreItem>
</file>

<file path=customXml/itemProps5.xml><?xml version="1.0" encoding="utf-8"?>
<ds:datastoreItem xmlns:ds="http://schemas.openxmlformats.org/officeDocument/2006/customXml" ds:itemID="{EF81401F-8020-4C4F-85F9-0C1CC3FDA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313</Words>
  <Characters>2019</Characters>
  <Application>Microsoft Office Word</Application>
  <DocSecurity>0</DocSecurity>
  <Lines>69</Lines>
  <Paragraphs>48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2284</CharactersWithSpaces>
  <SharedDoc>false</SharedDoc>
  <HLinks>
    <vt:vector size="6" baseType="variant">
      <vt:variant>
        <vt:i4>7471104</vt:i4>
      </vt:variant>
      <vt:variant>
        <vt:i4>0</vt:i4>
      </vt:variant>
      <vt:variant>
        <vt:i4>0</vt:i4>
      </vt:variant>
      <vt:variant>
        <vt:i4>5</vt:i4>
      </vt:variant>
      <vt:variant>
        <vt:lpwstr>mailto:Matthias.schindler@avaloq.com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2025-07-08T13:11:00Z</dcterms:created>
  <dcterms:modified xsi:type="dcterms:W3CDTF">2025-07-08T13:11:00Z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8844d0bd-613f-45ce-be9c-e39aa1c8e5fd</vt:lpwstr>
  </property>
  <property fmtid="{D5CDD505-2E9C-101B-9397-08002B2CF9AE}" pid="4" name="MediaServiceImageTags">
    <vt:lpwstr/>
  </property>
</Properties>
</file>