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746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ACD2171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5A88E429" w14:textId="77777777" w:rsidR="00865C2F" w:rsidRPr="00886CBE" w:rsidRDefault="0006293F" w:rsidP="00E9305F">
      <w:pPr>
        <w:numPr>
          <w:ilvl w:val="0"/>
          <w:numId w:val="6"/>
        </w:numPr>
        <w:spacing w:after="60"/>
        <w:rPr>
          <w:rFonts w:ascii="Arial" w:hAnsi="Arial" w:cs="Arial"/>
          <w:b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 xml:space="preserve">Origin of the </w:t>
      </w:r>
      <w:r w:rsidR="00D123C1" w:rsidRPr="00886CBE">
        <w:rPr>
          <w:rFonts w:ascii="Arial" w:hAnsi="Arial" w:cs="Arial"/>
          <w:b/>
          <w:sz w:val="20"/>
          <w:lang w:val="en-GB"/>
        </w:rPr>
        <w:t>request:</w:t>
      </w:r>
    </w:p>
    <w:p w14:paraId="50A5D954" w14:textId="77777777" w:rsidR="00C16FF8" w:rsidRPr="00886CBE" w:rsidRDefault="00C16FF8" w:rsidP="004B5195">
      <w:pPr>
        <w:tabs>
          <w:tab w:val="left" w:pos="1530"/>
        </w:tabs>
        <w:spacing w:after="60"/>
        <w:rPr>
          <w:rFonts w:ascii="Arial" w:hAnsi="Arial" w:cs="Arial"/>
          <w:sz w:val="20"/>
          <w:lang w:val="en-GB" w:eastAsia="ja-JP"/>
        </w:rPr>
      </w:pPr>
      <w:r w:rsidRPr="00886CBE">
        <w:rPr>
          <w:rFonts w:ascii="Arial" w:hAnsi="Arial" w:cs="Arial"/>
          <w:i/>
          <w:sz w:val="20"/>
          <w:lang w:val="en-GB"/>
        </w:rPr>
        <w:t xml:space="preserve">A.1 </w:t>
      </w:r>
      <w:proofErr w:type="gramStart"/>
      <w:r w:rsidRPr="00886CBE">
        <w:rPr>
          <w:rFonts w:ascii="Arial" w:hAnsi="Arial" w:cs="Arial"/>
          <w:i/>
          <w:sz w:val="20"/>
          <w:lang w:val="en-GB"/>
        </w:rPr>
        <w:t xml:space="preserve">Submitter </w:t>
      </w:r>
      <w:r w:rsidRPr="00886CBE">
        <w:rPr>
          <w:rFonts w:ascii="Arial" w:hAnsi="Arial" w:cs="Arial"/>
          <w:sz w:val="20"/>
          <w:lang w:val="en-GB"/>
        </w:rPr>
        <w:t>:</w:t>
      </w:r>
      <w:proofErr w:type="gramEnd"/>
      <w:r w:rsidRPr="00886CBE">
        <w:rPr>
          <w:rFonts w:ascii="Arial" w:hAnsi="Arial" w:cs="Arial"/>
          <w:sz w:val="20"/>
          <w:lang w:val="en-GB"/>
        </w:rPr>
        <w:t xml:space="preserve"> </w:t>
      </w:r>
      <w:r w:rsidR="004B5195">
        <w:rPr>
          <w:rFonts w:ascii="Arial" w:hAnsi="Arial" w:cs="Arial"/>
          <w:sz w:val="20"/>
          <w:lang w:val="en-GB"/>
        </w:rPr>
        <w:tab/>
      </w:r>
      <w:r w:rsidRPr="00886CBE">
        <w:rPr>
          <w:rFonts w:ascii="Arial" w:hAnsi="Arial" w:cs="Arial"/>
          <w:sz w:val="20"/>
          <w:lang w:val="en-GB"/>
        </w:rPr>
        <w:t xml:space="preserve">SWIFT </w:t>
      </w:r>
      <w:proofErr w:type="gramStart"/>
      <w:r w:rsidRPr="00886CBE">
        <w:rPr>
          <w:rFonts w:ascii="Arial" w:hAnsi="Arial" w:cs="Arial"/>
          <w:sz w:val="20"/>
          <w:lang w:val="en-GB"/>
        </w:rPr>
        <w:t xml:space="preserve">Standards  </w:t>
      </w:r>
      <w:r w:rsidR="00E20741">
        <w:rPr>
          <w:rFonts w:ascii="Arial" w:hAnsi="Arial" w:cs="Arial"/>
          <w:sz w:val="20"/>
          <w:lang w:val="en-GB"/>
        </w:rPr>
        <w:tab/>
      </w:r>
      <w:proofErr w:type="gramEnd"/>
      <w:r w:rsidR="00313D4A">
        <w:rPr>
          <w:rFonts w:ascii="Arial" w:hAnsi="Arial" w:cs="Arial"/>
          <w:sz w:val="20"/>
          <w:lang w:val="en-GB"/>
        </w:rPr>
        <w:t>(submitted 1</w:t>
      </w:r>
      <w:r w:rsidR="00136D6E">
        <w:rPr>
          <w:rFonts w:ascii="Arial" w:hAnsi="Arial" w:cs="Arial"/>
          <w:sz w:val="20"/>
          <w:lang w:val="en-GB"/>
        </w:rPr>
        <w:t>3</w:t>
      </w:r>
      <w:r w:rsidR="008C31C5">
        <w:rPr>
          <w:rFonts w:ascii="Arial" w:hAnsi="Arial" w:cs="Arial"/>
          <w:sz w:val="20"/>
          <w:lang w:val="en-GB"/>
        </w:rPr>
        <w:t xml:space="preserve"> February 2014)</w:t>
      </w:r>
    </w:p>
    <w:p w14:paraId="058F3C98" w14:textId="77777777" w:rsidR="00E9305F" w:rsidRDefault="00C16FF8" w:rsidP="00E9305F">
      <w:pPr>
        <w:spacing w:after="60"/>
        <w:rPr>
          <w:rFonts w:ascii="Arial" w:hAnsi="Arial" w:cs="Arial"/>
          <w:sz w:val="20"/>
          <w:lang w:val="it-IT"/>
        </w:rPr>
      </w:pPr>
      <w:r w:rsidRPr="00886CBE">
        <w:rPr>
          <w:rFonts w:ascii="Arial" w:hAnsi="Arial" w:cs="Arial"/>
          <w:i/>
          <w:sz w:val="20"/>
          <w:lang w:val="it-IT"/>
        </w:rPr>
        <w:t>A.2 Contact person:</w:t>
      </w:r>
      <w:r w:rsidRPr="00886CBE">
        <w:rPr>
          <w:rFonts w:ascii="Arial" w:hAnsi="Arial" w:cs="Arial"/>
          <w:sz w:val="20"/>
          <w:lang w:val="it-IT"/>
        </w:rPr>
        <w:t xml:space="preserve"> </w:t>
      </w:r>
    </w:p>
    <w:p w14:paraId="631434DC" w14:textId="77777777" w:rsidR="00C16FF8" w:rsidRPr="00886CBE" w:rsidRDefault="004B5195" w:rsidP="004B5195">
      <w:pPr>
        <w:tabs>
          <w:tab w:val="left" w:pos="1530"/>
        </w:tabs>
        <w:spacing w:after="6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ab/>
      </w:r>
      <w:r w:rsidR="00C16FF8" w:rsidRPr="00886CBE">
        <w:rPr>
          <w:rFonts w:ascii="Arial" w:hAnsi="Arial" w:cs="Arial"/>
          <w:sz w:val="20"/>
          <w:lang w:val="it-IT"/>
        </w:rPr>
        <w:t>Janice Chapman</w:t>
      </w:r>
      <w:r w:rsidR="00E9305F">
        <w:rPr>
          <w:rFonts w:ascii="Arial" w:hAnsi="Arial" w:cs="Arial"/>
          <w:sz w:val="20"/>
          <w:lang w:val="it-IT"/>
        </w:rPr>
        <w:tab/>
      </w:r>
      <w:hyperlink r:id="rId13" w:history="1">
        <w:r w:rsidR="00E9305F" w:rsidRPr="00BF3744">
          <w:rPr>
            <w:rStyle w:val="Hyperlink"/>
            <w:rFonts w:ascii="Arial" w:hAnsi="Arial" w:cs="Arial"/>
            <w:sz w:val="20"/>
            <w:lang w:val="it-IT"/>
          </w:rPr>
          <w:t>janice.chapman@swift.com</w:t>
        </w:r>
      </w:hyperlink>
      <w:r w:rsidR="00C16FF8" w:rsidRPr="00886CBE">
        <w:rPr>
          <w:rFonts w:ascii="Arial" w:hAnsi="Arial" w:cs="Arial"/>
          <w:sz w:val="20"/>
          <w:lang w:val="it-IT"/>
        </w:rPr>
        <w:t xml:space="preserve"> </w:t>
      </w:r>
      <w:r w:rsidR="00E9305F">
        <w:rPr>
          <w:rFonts w:ascii="Arial" w:hAnsi="Arial" w:cs="Arial"/>
          <w:sz w:val="20"/>
          <w:lang w:val="it-IT"/>
        </w:rPr>
        <w:tab/>
      </w:r>
      <w:r w:rsidR="00C16FF8" w:rsidRPr="00886CBE">
        <w:rPr>
          <w:rFonts w:ascii="Arial" w:hAnsi="Arial" w:cs="Arial"/>
          <w:sz w:val="20"/>
          <w:lang w:val="it-IT"/>
        </w:rPr>
        <w:t>+32 2 655 3390</w:t>
      </w:r>
    </w:p>
    <w:p w14:paraId="193CCB1E" w14:textId="77777777" w:rsidR="00577BCC" w:rsidRPr="00886CBE" w:rsidRDefault="00C16FF8" w:rsidP="00E9305F">
      <w:pPr>
        <w:spacing w:after="60"/>
        <w:rPr>
          <w:rFonts w:ascii="Arial" w:hAnsi="Arial" w:cs="Arial"/>
          <w:i/>
          <w:sz w:val="20"/>
          <w:lang w:val="it-IT"/>
        </w:rPr>
      </w:pPr>
      <w:r w:rsidRPr="00886CBE">
        <w:rPr>
          <w:rFonts w:ascii="Arial" w:hAnsi="Arial" w:cs="Arial"/>
          <w:sz w:val="20"/>
          <w:lang w:val="it-IT"/>
        </w:rPr>
        <w:t xml:space="preserve">A.3 </w:t>
      </w:r>
      <w:r w:rsidRPr="00886CBE">
        <w:rPr>
          <w:rFonts w:ascii="Arial" w:hAnsi="Arial" w:cs="Arial"/>
          <w:i/>
          <w:sz w:val="20"/>
          <w:lang w:val="it-IT"/>
        </w:rPr>
        <w:t xml:space="preserve">Sponsor: </w:t>
      </w:r>
    </w:p>
    <w:p w14:paraId="4C4906A7" w14:textId="77777777" w:rsidR="00854FA6" w:rsidRPr="00886CBE" w:rsidRDefault="00854FA6" w:rsidP="00E9305F">
      <w:pPr>
        <w:numPr>
          <w:ilvl w:val="0"/>
          <w:numId w:val="6"/>
        </w:numPr>
        <w:spacing w:after="60"/>
        <w:rPr>
          <w:rFonts w:ascii="Arial" w:hAnsi="Arial" w:cs="Arial"/>
          <w:b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>Related messages:</w:t>
      </w:r>
    </w:p>
    <w:tbl>
      <w:tblPr>
        <w:tblW w:w="94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6120"/>
        <w:gridCol w:w="1596"/>
      </w:tblGrid>
      <w:tr w:rsidR="00C16FF8" w:rsidRPr="0077766A" w14:paraId="776DEADD" w14:textId="77777777" w:rsidTr="008814B8">
        <w:trPr>
          <w:trHeight w:val="20"/>
        </w:trPr>
        <w:tc>
          <w:tcPr>
            <w:tcW w:w="1710" w:type="dxa"/>
          </w:tcPr>
          <w:p w14:paraId="28911CD2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20B6A32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sz w:val="20"/>
              </w:rPr>
            </w:pPr>
            <w:r w:rsidRPr="0077766A">
              <w:rPr>
                <w:rFonts w:ascii="Calibri" w:hAnsi="Calibri" w:cs="Calibri"/>
                <w:sz w:val="20"/>
              </w:rPr>
              <w:t>Fund Estimated Cash Forecast Report V03</w:t>
            </w:r>
          </w:p>
        </w:tc>
        <w:tc>
          <w:tcPr>
            <w:tcW w:w="1596" w:type="dxa"/>
            <w:shd w:val="clear" w:color="auto" w:fill="auto"/>
          </w:tcPr>
          <w:p w14:paraId="6AF5EC0F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  <w:sz w:val="20"/>
              </w:rPr>
            </w:pPr>
            <w:r w:rsidRPr="0077766A">
              <w:rPr>
                <w:rFonts w:ascii="Calibri" w:hAnsi="Calibri" w:cs="Calibri"/>
                <w:bCs/>
                <w:sz w:val="20"/>
              </w:rPr>
              <w:t>camt.040.001.03</w:t>
            </w:r>
          </w:p>
        </w:tc>
      </w:tr>
      <w:tr w:rsidR="00C16FF8" w:rsidRPr="0077766A" w14:paraId="76953A79" w14:textId="77777777" w:rsidTr="008814B8">
        <w:trPr>
          <w:trHeight w:val="20"/>
        </w:trPr>
        <w:tc>
          <w:tcPr>
            <w:tcW w:w="1710" w:type="dxa"/>
          </w:tcPr>
          <w:p w14:paraId="4ED82462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4F8A66E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sz w:val="20"/>
              </w:rPr>
            </w:pPr>
            <w:r w:rsidRPr="0077766A">
              <w:rPr>
                <w:rFonts w:ascii="Calibri" w:hAnsi="Calibri" w:cs="Calibri"/>
                <w:sz w:val="20"/>
              </w:rPr>
              <w:t>Fund Confirmed Cash Forecast Report V03</w:t>
            </w:r>
          </w:p>
        </w:tc>
        <w:tc>
          <w:tcPr>
            <w:tcW w:w="1596" w:type="dxa"/>
            <w:shd w:val="clear" w:color="auto" w:fill="auto"/>
          </w:tcPr>
          <w:p w14:paraId="6215BA34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  <w:sz w:val="20"/>
              </w:rPr>
            </w:pPr>
            <w:r w:rsidRPr="0077766A">
              <w:rPr>
                <w:rFonts w:ascii="Calibri" w:hAnsi="Calibri" w:cs="Calibri"/>
                <w:bCs/>
                <w:sz w:val="20"/>
              </w:rPr>
              <w:t>camt.041.001.03</w:t>
            </w:r>
          </w:p>
        </w:tc>
      </w:tr>
      <w:tr w:rsidR="00C16FF8" w:rsidRPr="0077766A" w14:paraId="01754AD2" w14:textId="77777777" w:rsidTr="008814B8">
        <w:trPr>
          <w:trHeight w:val="20"/>
        </w:trPr>
        <w:tc>
          <w:tcPr>
            <w:tcW w:w="1710" w:type="dxa"/>
          </w:tcPr>
          <w:p w14:paraId="55F12F23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0AA433C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sz w:val="20"/>
              </w:rPr>
            </w:pPr>
            <w:r w:rsidRPr="0077766A">
              <w:rPr>
                <w:rFonts w:ascii="Calibri" w:hAnsi="Calibri" w:cs="Calibri"/>
                <w:sz w:val="20"/>
              </w:rPr>
              <w:t>Fund Detailed Estimated Cash Forecast Report V03</w:t>
            </w:r>
          </w:p>
        </w:tc>
        <w:tc>
          <w:tcPr>
            <w:tcW w:w="1596" w:type="dxa"/>
            <w:shd w:val="clear" w:color="auto" w:fill="auto"/>
          </w:tcPr>
          <w:p w14:paraId="3EE20F64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  <w:sz w:val="20"/>
              </w:rPr>
            </w:pPr>
            <w:r w:rsidRPr="0077766A">
              <w:rPr>
                <w:rFonts w:ascii="Calibri" w:hAnsi="Calibri" w:cs="Calibri"/>
                <w:bCs/>
                <w:sz w:val="20"/>
              </w:rPr>
              <w:t>camt.042.001.03</w:t>
            </w:r>
          </w:p>
        </w:tc>
      </w:tr>
      <w:tr w:rsidR="00C16FF8" w:rsidRPr="0077766A" w14:paraId="57F1161B" w14:textId="77777777" w:rsidTr="008814B8">
        <w:trPr>
          <w:trHeight w:val="20"/>
        </w:trPr>
        <w:tc>
          <w:tcPr>
            <w:tcW w:w="1710" w:type="dxa"/>
          </w:tcPr>
          <w:p w14:paraId="0BC40574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A11D83A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sz w:val="20"/>
              </w:rPr>
            </w:pPr>
            <w:r w:rsidRPr="0077766A">
              <w:rPr>
                <w:rFonts w:ascii="Calibri" w:hAnsi="Calibri" w:cs="Calibri"/>
                <w:sz w:val="20"/>
              </w:rPr>
              <w:t>Fund Detailed Confirmed Cash Forecast Report V03</w:t>
            </w:r>
          </w:p>
        </w:tc>
        <w:tc>
          <w:tcPr>
            <w:tcW w:w="1596" w:type="dxa"/>
            <w:shd w:val="clear" w:color="auto" w:fill="auto"/>
          </w:tcPr>
          <w:p w14:paraId="19A13168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  <w:sz w:val="20"/>
              </w:rPr>
            </w:pPr>
            <w:r w:rsidRPr="0077766A">
              <w:rPr>
                <w:rFonts w:ascii="Calibri" w:hAnsi="Calibri" w:cs="Calibri"/>
                <w:bCs/>
                <w:sz w:val="20"/>
              </w:rPr>
              <w:t>camt.043.001.03</w:t>
            </w:r>
          </w:p>
        </w:tc>
      </w:tr>
      <w:tr w:rsidR="00C16FF8" w:rsidRPr="0077766A" w14:paraId="781A59D7" w14:textId="77777777" w:rsidTr="008814B8">
        <w:trPr>
          <w:trHeight w:val="20"/>
        </w:trPr>
        <w:tc>
          <w:tcPr>
            <w:tcW w:w="1710" w:type="dxa"/>
          </w:tcPr>
          <w:p w14:paraId="56E9F3E8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83EECE9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sz w:val="20"/>
              </w:rPr>
            </w:pPr>
            <w:r w:rsidRPr="0077766A">
              <w:rPr>
                <w:rFonts w:ascii="Calibri" w:hAnsi="Calibri" w:cs="Calibri"/>
                <w:sz w:val="20"/>
              </w:rPr>
              <w:t>Fund Detailed Confirmed Cash Forecast Report Cancellation V02</w:t>
            </w:r>
          </w:p>
        </w:tc>
        <w:tc>
          <w:tcPr>
            <w:tcW w:w="1596" w:type="dxa"/>
            <w:shd w:val="clear" w:color="auto" w:fill="auto"/>
          </w:tcPr>
          <w:p w14:paraId="51139A7C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  <w:sz w:val="20"/>
              </w:rPr>
            </w:pPr>
            <w:r w:rsidRPr="0077766A">
              <w:rPr>
                <w:rFonts w:ascii="Calibri" w:hAnsi="Calibri" w:cs="Calibri"/>
                <w:bCs/>
                <w:sz w:val="20"/>
              </w:rPr>
              <w:t>camt.045.001.02</w:t>
            </w:r>
          </w:p>
        </w:tc>
      </w:tr>
      <w:tr w:rsidR="00C16FF8" w:rsidRPr="0077766A" w14:paraId="31A9A856" w14:textId="77777777" w:rsidTr="008814B8">
        <w:trPr>
          <w:trHeight w:val="20"/>
        </w:trPr>
        <w:tc>
          <w:tcPr>
            <w:tcW w:w="1710" w:type="dxa"/>
          </w:tcPr>
          <w:p w14:paraId="25F5824C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  <w:sz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6945462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sz w:val="20"/>
              </w:rPr>
            </w:pPr>
            <w:r w:rsidRPr="0077766A">
              <w:rPr>
                <w:rFonts w:ascii="Calibri" w:hAnsi="Calibri" w:cs="Calibri"/>
                <w:sz w:val="20"/>
              </w:rPr>
              <w:t>Fund Confirmed Cash Forecast Report Cancellation V02</w:t>
            </w:r>
          </w:p>
        </w:tc>
        <w:tc>
          <w:tcPr>
            <w:tcW w:w="1596" w:type="dxa"/>
            <w:shd w:val="clear" w:color="auto" w:fill="auto"/>
          </w:tcPr>
          <w:p w14:paraId="137604FA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  <w:sz w:val="20"/>
              </w:rPr>
            </w:pPr>
            <w:r w:rsidRPr="0077766A">
              <w:rPr>
                <w:rFonts w:ascii="Calibri" w:hAnsi="Calibri" w:cs="Calibri"/>
                <w:bCs/>
                <w:sz w:val="20"/>
              </w:rPr>
              <w:t>camt.044.001.02</w:t>
            </w:r>
          </w:p>
        </w:tc>
      </w:tr>
    </w:tbl>
    <w:p w14:paraId="54ABC9F3" w14:textId="77777777" w:rsidR="00854FA6" w:rsidRPr="00886CBE" w:rsidRDefault="006D4A37" w:rsidP="00854FA6">
      <w:pPr>
        <w:numPr>
          <w:ilvl w:val="0"/>
          <w:numId w:val="6"/>
        </w:numPr>
        <w:rPr>
          <w:rFonts w:ascii="Arial" w:hAnsi="Arial" w:cs="Arial"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>Description of the change request:</w:t>
      </w:r>
    </w:p>
    <w:p w14:paraId="5D6F5FE5" w14:textId="77777777" w:rsidR="00C16FF8" w:rsidRDefault="00C16FF8" w:rsidP="00C16FF8">
      <w:pPr>
        <w:ind w:left="630" w:hanging="6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[a</w:t>
      </w:r>
      <w:proofErr w:type="gramStart"/>
      <w:r>
        <w:rPr>
          <w:rFonts w:ascii="Arial" w:hAnsi="Arial" w:cs="Arial"/>
          <w:color w:val="000000"/>
          <w:sz w:val="20"/>
        </w:rPr>
        <w:t xml:space="preserve">] </w:t>
      </w:r>
      <w:r>
        <w:rPr>
          <w:rFonts w:ascii="Arial" w:hAnsi="Arial" w:cs="Arial"/>
          <w:color w:val="000000"/>
          <w:sz w:val="20"/>
        </w:rPr>
        <w:tab/>
        <w:t>Replacement</w:t>
      </w:r>
      <w:proofErr w:type="gramEnd"/>
      <w:r>
        <w:rPr>
          <w:rFonts w:ascii="Arial" w:hAnsi="Arial" w:cs="Arial"/>
          <w:color w:val="000000"/>
          <w:sz w:val="20"/>
        </w:rPr>
        <w:t xml:space="preserve"> of BICOrBEI tag with AnyBIC</w:t>
      </w:r>
      <w:r w:rsidR="00B27B87">
        <w:rPr>
          <w:rFonts w:ascii="Arial" w:hAnsi="Arial" w:cs="Arial"/>
          <w:color w:val="000000"/>
          <w:sz w:val="20"/>
        </w:rPr>
        <w:t xml:space="preserve"> and change data </w:t>
      </w:r>
      <w:r w:rsidR="00456A93">
        <w:rPr>
          <w:rFonts w:ascii="Arial" w:hAnsi="Arial" w:cs="Arial"/>
          <w:color w:val="000000"/>
          <w:sz w:val="20"/>
        </w:rPr>
        <w:t xml:space="preserve">type </w:t>
      </w:r>
      <w:r w:rsidR="00B27B87">
        <w:rPr>
          <w:rFonts w:ascii="Arial" w:hAnsi="Arial" w:cs="Arial"/>
          <w:color w:val="000000"/>
          <w:sz w:val="20"/>
        </w:rPr>
        <w:t xml:space="preserve">to </w:t>
      </w:r>
      <w:r w:rsidR="00456A93">
        <w:rPr>
          <w:rFonts w:ascii="Arial" w:hAnsi="Arial" w:cs="Arial"/>
          <w:color w:val="000000"/>
          <w:sz w:val="20"/>
        </w:rPr>
        <w:t>Any BIC Identifier</w:t>
      </w:r>
    </w:p>
    <w:p w14:paraId="14BEAE42" w14:textId="77777777" w:rsidR="00C16FF8" w:rsidRDefault="00C16FF8" w:rsidP="00C16FF8">
      <w:pPr>
        <w:ind w:left="630" w:hanging="6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</w:t>
      </w:r>
      <w:r w:rsidR="00456A93">
        <w:rPr>
          <w:rFonts w:ascii="Arial" w:hAnsi="Arial" w:cs="Arial"/>
          <w:color w:val="000000"/>
          <w:sz w:val="20"/>
        </w:rPr>
        <w:t>b</w:t>
      </w:r>
      <w:r>
        <w:rPr>
          <w:rFonts w:ascii="Arial" w:hAnsi="Arial" w:cs="Arial"/>
          <w:color w:val="000000"/>
          <w:sz w:val="20"/>
        </w:rPr>
        <w:t>]</w:t>
      </w:r>
      <w:r>
        <w:rPr>
          <w:rFonts w:ascii="Arial" w:hAnsi="Arial" w:cs="Arial"/>
          <w:color w:val="000000"/>
          <w:sz w:val="20"/>
        </w:rPr>
        <w:tab/>
        <w:t xml:space="preserve">Replacement of </w:t>
      </w:r>
      <w:r w:rsidRPr="00B27B87">
        <w:rPr>
          <w:rFonts w:ascii="Arial" w:hAnsi="Arial" w:cs="Arial"/>
          <w:b/>
          <w:color w:val="000000"/>
          <w:sz w:val="20"/>
        </w:rPr>
        <w:t xml:space="preserve">BIC </w:t>
      </w:r>
      <w:r>
        <w:rPr>
          <w:rFonts w:ascii="Arial" w:hAnsi="Arial" w:cs="Arial"/>
          <w:color w:val="000000"/>
          <w:sz w:val="20"/>
        </w:rPr>
        <w:t>tag with BICFI (if the party can only be a bank)</w:t>
      </w:r>
      <w:r w:rsidR="00B27B87">
        <w:rPr>
          <w:rFonts w:ascii="Arial" w:hAnsi="Arial" w:cs="Arial"/>
          <w:color w:val="000000"/>
          <w:sz w:val="20"/>
        </w:rPr>
        <w:t xml:space="preserve"> and change </w:t>
      </w:r>
      <w:r w:rsidR="00456A93">
        <w:rPr>
          <w:rFonts w:ascii="Arial" w:hAnsi="Arial" w:cs="Arial"/>
          <w:color w:val="000000"/>
          <w:sz w:val="20"/>
        </w:rPr>
        <w:t xml:space="preserve">data type </w:t>
      </w:r>
      <w:r w:rsidR="00B27B87">
        <w:rPr>
          <w:rFonts w:ascii="Arial" w:hAnsi="Arial" w:cs="Arial"/>
          <w:color w:val="000000"/>
          <w:sz w:val="20"/>
        </w:rPr>
        <w:t xml:space="preserve">to </w:t>
      </w:r>
      <w:r w:rsidR="00456A93">
        <w:rPr>
          <w:rFonts w:ascii="Arial" w:hAnsi="Arial" w:cs="Arial"/>
          <w:color w:val="000000"/>
          <w:sz w:val="20"/>
        </w:rPr>
        <w:t>BIC FI Identifier)</w:t>
      </w:r>
    </w:p>
    <w:p w14:paraId="722FDA30" w14:textId="77777777" w:rsidR="00C16FF8" w:rsidRDefault="00456A93" w:rsidP="00C16FF8">
      <w:pPr>
        <w:ind w:left="630" w:hanging="63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[c]</w:t>
      </w:r>
      <w:r>
        <w:rPr>
          <w:rFonts w:ascii="Arial" w:hAnsi="Arial" w:cs="Arial"/>
          <w:color w:val="000000"/>
          <w:sz w:val="20"/>
        </w:rPr>
        <w:tab/>
        <w:t xml:space="preserve">Replacement of data type </w:t>
      </w:r>
      <w:r w:rsidR="00B27B87">
        <w:rPr>
          <w:rFonts w:ascii="Arial" w:hAnsi="Arial" w:cs="Arial"/>
          <w:color w:val="000000"/>
          <w:sz w:val="20"/>
        </w:rPr>
        <w:t xml:space="preserve">for elements such </w:t>
      </w:r>
      <w:proofErr w:type="gramStart"/>
      <w:r w:rsidR="00B27B87" w:rsidRPr="00B27B87">
        <w:rPr>
          <w:rFonts w:ascii="Arial" w:hAnsi="Arial" w:cs="Arial"/>
          <w:b/>
          <w:color w:val="000000"/>
          <w:sz w:val="20"/>
        </w:rPr>
        <w:t>as  Identi</w:t>
      </w:r>
      <w:r w:rsidR="00A80F26">
        <w:rPr>
          <w:rFonts w:ascii="Arial" w:hAnsi="Arial" w:cs="Arial"/>
          <w:b/>
          <w:color w:val="000000"/>
          <w:sz w:val="20"/>
        </w:rPr>
        <w:t>fi</w:t>
      </w:r>
      <w:r w:rsidR="00B27B87" w:rsidRPr="00B27B87">
        <w:rPr>
          <w:rFonts w:ascii="Arial" w:hAnsi="Arial" w:cs="Arial"/>
          <w:b/>
          <w:color w:val="000000"/>
          <w:sz w:val="20"/>
        </w:rPr>
        <w:t>cation</w:t>
      </w:r>
      <w:proofErr w:type="gramEnd"/>
      <w:r w:rsidR="00B27B87">
        <w:rPr>
          <w:rFonts w:ascii="Arial" w:hAnsi="Arial" w:cs="Arial"/>
          <w:b/>
          <w:color w:val="000000"/>
          <w:sz w:val="20"/>
        </w:rPr>
        <w:t>, Servicer</w:t>
      </w:r>
      <w:r w:rsidR="00B27B87">
        <w:rPr>
          <w:rFonts w:ascii="Arial" w:hAnsi="Arial" w:cs="Arial"/>
          <w:color w:val="000000"/>
          <w:sz w:val="20"/>
        </w:rPr>
        <w:t xml:space="preserve"> that are typed by BICIdentifier with</w:t>
      </w:r>
      <w:r w:rsidR="00B27B87" w:rsidRPr="00B27B87">
        <w:rPr>
          <w:rFonts w:ascii="Arial" w:hAnsi="Arial" w:cs="Arial"/>
          <w:color w:val="000000"/>
          <w:sz w:val="20"/>
        </w:rPr>
        <w:t xml:space="preserve"> </w:t>
      </w:r>
      <w:r w:rsidR="00B27B87">
        <w:rPr>
          <w:rFonts w:ascii="Arial" w:hAnsi="Arial" w:cs="Arial"/>
          <w:color w:val="000000"/>
          <w:sz w:val="20"/>
        </w:rPr>
        <w:t>Any BIC Identifier or BIC FI Identifier as appropriate.</w:t>
      </w:r>
    </w:p>
    <w:p w14:paraId="30D256D4" w14:textId="77777777" w:rsidR="006A2392" w:rsidRPr="00F720F7" w:rsidRDefault="006A2392" w:rsidP="006A2392">
      <w:pPr>
        <w:rPr>
          <w:rFonts w:ascii="Arial" w:hAnsi="Arial" w:cs="Arial"/>
          <w:sz w:val="20"/>
        </w:rPr>
      </w:pPr>
      <w:r w:rsidRPr="00F720F7">
        <w:rPr>
          <w:rFonts w:ascii="Arial" w:hAnsi="Arial" w:cs="Arial"/>
          <w:sz w:val="20"/>
        </w:rPr>
        <w:t xml:space="preserve">In </w:t>
      </w:r>
      <w:proofErr w:type="gramStart"/>
      <w:r w:rsidRPr="00F720F7">
        <w:rPr>
          <w:rFonts w:ascii="Arial" w:hAnsi="Arial" w:cs="Arial"/>
          <w:sz w:val="20"/>
        </w:rPr>
        <w:t>funds</w:t>
      </w:r>
      <w:proofErr w:type="gramEnd"/>
      <w:r w:rsidRPr="00F720F7">
        <w:rPr>
          <w:rFonts w:ascii="Arial" w:hAnsi="Arial" w:cs="Arial"/>
          <w:sz w:val="20"/>
        </w:rPr>
        <w:t xml:space="preserve"> message set, all elements typed by PartyIdentification2Choice, PartyIdentification1Choice, FinancialInstitutionIdentification3</w:t>
      </w:r>
      <w:proofErr w:type="gramStart"/>
      <w:r w:rsidRPr="00F720F7">
        <w:rPr>
          <w:rFonts w:ascii="Arial" w:hAnsi="Arial" w:cs="Arial"/>
          <w:sz w:val="20"/>
        </w:rPr>
        <w:t>Choice ,</w:t>
      </w:r>
      <w:proofErr w:type="gramEnd"/>
      <w:r w:rsidRPr="00F720F7">
        <w:rPr>
          <w:rFonts w:ascii="Arial" w:hAnsi="Arial" w:cs="Arial"/>
          <w:sz w:val="20"/>
        </w:rPr>
        <w:t xml:space="preserve"> BIC Identification 1, Party Identification 4 Choice, ContactAttributes1, CashAccount22, CashAccount21 and PartyIdentification1Choice need to be changed.  A similar change request has been </w:t>
      </w:r>
      <w:r w:rsidR="00886CBE">
        <w:rPr>
          <w:rFonts w:ascii="Arial" w:hAnsi="Arial" w:cs="Arial"/>
          <w:sz w:val="20"/>
        </w:rPr>
        <w:t xml:space="preserve">/ will be </w:t>
      </w:r>
      <w:r w:rsidRPr="00F720F7">
        <w:rPr>
          <w:rFonts w:ascii="Arial" w:hAnsi="Arial" w:cs="Arial"/>
          <w:sz w:val="20"/>
        </w:rPr>
        <w:t>introduced for ACMT, REDA, SEMT, SESE and SETR.</w:t>
      </w:r>
    </w:p>
    <w:p w14:paraId="1059D25E" w14:textId="77777777" w:rsidR="00C16FF8" w:rsidRDefault="00C16FF8" w:rsidP="006A23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impact</w:t>
      </w:r>
      <w:r w:rsidR="008814B8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elements are </w:t>
      </w:r>
      <w:proofErr w:type="gramStart"/>
      <w:r>
        <w:rPr>
          <w:rFonts w:ascii="Arial" w:hAnsi="Arial" w:cs="Arial"/>
          <w:sz w:val="20"/>
        </w:rPr>
        <w:t>those  typed</w:t>
      </w:r>
      <w:proofErr w:type="gramEnd"/>
      <w:r>
        <w:rPr>
          <w:rFonts w:ascii="Arial" w:hAnsi="Arial" w:cs="Arial"/>
          <w:sz w:val="20"/>
        </w:rPr>
        <w:t xml:space="preserve"> by: </w:t>
      </w:r>
    </w:p>
    <w:p w14:paraId="60E82156" w14:textId="77777777" w:rsidR="00C16FF8" w:rsidRDefault="00C16FF8" w:rsidP="00C16FF8">
      <w:pPr>
        <w:ind w:left="1170" w:hanging="54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[1]</w:t>
      </w:r>
      <w:r>
        <w:rPr>
          <w:rFonts w:ascii="Arial" w:hAnsi="Arial" w:cs="Arial"/>
          <w:sz w:val="20"/>
        </w:rPr>
        <w:tab/>
        <w:t>PartyIdentification2Choice</w:t>
      </w:r>
    </w:p>
    <w:p w14:paraId="4453BB21" w14:textId="77777777" w:rsidR="008814B8" w:rsidRDefault="008814B8" w:rsidP="00C16FF8">
      <w:pPr>
        <w:ind w:left="1170" w:hanging="540"/>
        <w:rPr>
          <w:rFonts w:ascii="Arial" w:hAnsi="Arial" w:cs="Arial"/>
          <w:sz w:val="20"/>
        </w:rPr>
      </w:pPr>
    </w:p>
    <w:p w14:paraId="5B3EC77D" w14:textId="77777777" w:rsidR="00C16FF8" w:rsidRDefault="00C16FF8" w:rsidP="00C16FF8">
      <w:pPr>
        <w:rPr>
          <w:rFonts w:ascii="Arial" w:hAnsi="Arial" w:cs="Arial"/>
          <w:b/>
          <w:color w:val="000000"/>
          <w:sz w:val="20"/>
        </w:rPr>
      </w:pPr>
      <w:r w:rsidRPr="00A134D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1</w:t>
      </w:r>
      <w:r w:rsidRPr="00A134D3">
        <w:rPr>
          <w:rFonts w:ascii="Arial" w:hAnsi="Arial" w:cs="Arial"/>
          <w:b/>
          <w:sz w:val="20"/>
        </w:rPr>
        <w:t xml:space="preserve">] PartyIdentification2Choice </w:t>
      </w:r>
      <w:r w:rsidR="006A2392">
        <w:rPr>
          <w:rFonts w:ascii="Arial" w:hAnsi="Arial" w:cs="Arial"/>
          <w:b/>
          <w:sz w:val="20"/>
        </w:rPr>
        <w:t>has</w:t>
      </w:r>
      <w:r w:rsidRPr="00A134D3">
        <w:rPr>
          <w:rFonts w:ascii="Arial" w:hAnsi="Arial" w:cs="Arial"/>
          <w:b/>
          <w:sz w:val="20"/>
        </w:rPr>
        <w:t xml:space="preserve"> element</w:t>
      </w:r>
      <w:r>
        <w:rPr>
          <w:rFonts w:ascii="Arial" w:hAnsi="Arial" w:cs="Arial"/>
          <w:b/>
          <w:sz w:val="20"/>
        </w:rPr>
        <w:t xml:space="preserve">s typed by </w:t>
      </w:r>
      <w:r>
        <w:rPr>
          <w:rFonts w:ascii="Arial" w:hAnsi="Arial" w:cs="Arial"/>
          <w:b/>
          <w:color w:val="000000"/>
          <w:sz w:val="20"/>
        </w:rPr>
        <w:t>BICOrBEI that need to be replaced by AnyBIC.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</w:tblGrid>
      <w:tr w:rsidR="00886CBE" w:rsidRPr="00493FF8" w14:paraId="60644F22" w14:textId="77777777" w:rsidTr="00886CBE">
        <w:tc>
          <w:tcPr>
            <w:tcW w:w="5031" w:type="dxa"/>
            <w:shd w:val="clear" w:color="auto" w:fill="auto"/>
          </w:tcPr>
          <w:p w14:paraId="1277F2D6" w14:textId="77777777" w:rsidR="00886CBE" w:rsidRPr="00493FF8" w:rsidRDefault="00886CBE" w:rsidP="00493FF8">
            <w:pPr>
              <w:spacing w:before="40" w:after="40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  <w:p w14:paraId="1EABA8DA" w14:textId="77777777" w:rsidR="00886CBE" w:rsidRDefault="00886CBE" w:rsidP="00493FF8">
            <w:pPr>
              <w:spacing w:before="40" w:after="40"/>
              <w:rPr>
                <w:rFonts w:ascii="Arial" w:hAnsi="Arial" w:cs="Arial"/>
                <w:i/>
                <w:sz w:val="20"/>
              </w:rPr>
            </w:pPr>
            <w:r w:rsidRPr="00493FF8">
              <w:rPr>
                <w:rFonts w:ascii="Arial" w:hAnsi="Arial" w:cs="Arial"/>
                <w:i/>
                <w:sz w:val="20"/>
              </w:rPr>
              <w:object w:dxaOrig="4815" w:dyaOrig="1140" w14:anchorId="5F807D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05pt;height:56.95pt" o:ole="">
                  <v:imagedata r:id="rId14" o:title=""/>
                </v:shape>
                <o:OLEObject Type="Embed" ProgID="PBrush" ShapeID="_x0000_i1025" DrawAspect="Content" ObjectID="_1813489300" r:id="rId15"/>
              </w:object>
            </w:r>
          </w:p>
          <w:p w14:paraId="3A797402" w14:textId="77777777" w:rsidR="00886CBE" w:rsidRPr="00493FF8" w:rsidRDefault="00886CBE" w:rsidP="00493FF8">
            <w:pPr>
              <w:spacing w:before="40" w:after="40"/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</w:tbl>
    <w:p w14:paraId="033CC676" w14:textId="77777777" w:rsidR="00C16FF8" w:rsidRPr="004D1B5F" w:rsidRDefault="00C16FF8" w:rsidP="00C16FF8">
      <w:pPr>
        <w:rPr>
          <w:rFonts w:ascii="Arial" w:hAnsi="Arial" w:cs="Arial"/>
          <w:sz w:val="20"/>
          <w:lang w:eastAsia="it-IT"/>
        </w:rPr>
      </w:pPr>
      <w:r w:rsidRPr="004D1B5F">
        <w:rPr>
          <w:rFonts w:ascii="Arial" w:hAnsi="Arial" w:cs="Arial"/>
          <w:sz w:val="20"/>
          <w:lang w:eastAsia="it-IT"/>
        </w:rPr>
        <w:t xml:space="preserve">A new version of </w:t>
      </w:r>
      <w:r>
        <w:rPr>
          <w:rFonts w:ascii="Arial" w:hAnsi="Arial" w:cs="Arial"/>
          <w:sz w:val="20"/>
          <w:lang w:eastAsia="it-IT"/>
        </w:rPr>
        <w:t xml:space="preserve">party identification choice needs to be created (we will </w:t>
      </w:r>
      <w:r w:rsidR="004F1090">
        <w:rPr>
          <w:rFonts w:ascii="Arial" w:hAnsi="Arial" w:cs="Arial"/>
          <w:sz w:val="20"/>
          <w:lang w:eastAsia="it-IT"/>
        </w:rPr>
        <w:t xml:space="preserve">also </w:t>
      </w:r>
      <w:r>
        <w:rPr>
          <w:rFonts w:ascii="Arial" w:hAnsi="Arial" w:cs="Arial"/>
          <w:sz w:val="20"/>
          <w:lang w:eastAsia="it-IT"/>
        </w:rPr>
        <w:t xml:space="preserve">align this so that party identification </w:t>
      </w:r>
      <w:proofErr w:type="gramStart"/>
      <w:r>
        <w:rPr>
          <w:rFonts w:ascii="Arial" w:hAnsi="Arial" w:cs="Arial"/>
          <w:sz w:val="20"/>
          <w:lang w:eastAsia="it-IT"/>
        </w:rPr>
        <w:t>choice  is</w:t>
      </w:r>
      <w:proofErr w:type="gramEnd"/>
      <w:r>
        <w:rPr>
          <w:rFonts w:ascii="Arial" w:hAnsi="Arial" w:cs="Arial"/>
          <w:sz w:val="20"/>
          <w:lang w:eastAsia="it-IT"/>
        </w:rPr>
        <w:t xml:space="preserve"> consistently used in the funds message set</w:t>
      </w:r>
      <w:r w:rsidR="004F1090">
        <w:rPr>
          <w:rFonts w:ascii="Arial" w:hAnsi="Arial" w:cs="Arial"/>
          <w:sz w:val="20"/>
          <w:lang w:eastAsia="it-IT"/>
        </w:rPr>
        <w:t>)</w:t>
      </w:r>
      <w:r>
        <w:rPr>
          <w:rFonts w:ascii="Arial" w:hAnsi="Arial" w:cs="Arial"/>
          <w:sz w:val="20"/>
          <w:lang w:eastAsia="it-IT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656"/>
        <w:gridCol w:w="4790"/>
        <w:gridCol w:w="2070"/>
      </w:tblGrid>
      <w:tr w:rsidR="00C16FF8" w14:paraId="7328EE96" w14:textId="77777777" w:rsidTr="008814B8">
        <w:tc>
          <w:tcPr>
            <w:tcW w:w="2222" w:type="dxa"/>
            <w:shd w:val="clear" w:color="auto" w:fill="auto"/>
          </w:tcPr>
          <w:p w14:paraId="4D96610D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 xml:space="preserve">NAME: </w:t>
            </w:r>
          </w:p>
        </w:tc>
        <w:tc>
          <w:tcPr>
            <w:tcW w:w="7516" w:type="dxa"/>
            <w:gridSpan w:val="3"/>
            <w:shd w:val="clear" w:color="auto" w:fill="auto"/>
          </w:tcPr>
          <w:p w14:paraId="1D1614CE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PartyIdentificationNChoice</w:t>
            </w:r>
          </w:p>
        </w:tc>
      </w:tr>
      <w:tr w:rsidR="00C16FF8" w14:paraId="0DF32C9B" w14:textId="77777777" w:rsidTr="008814B8">
        <w:tc>
          <w:tcPr>
            <w:tcW w:w="2222" w:type="dxa"/>
            <w:shd w:val="clear" w:color="auto" w:fill="auto"/>
          </w:tcPr>
          <w:p w14:paraId="0455E2D6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DEFINITION</w:t>
            </w:r>
          </w:p>
        </w:tc>
        <w:tc>
          <w:tcPr>
            <w:tcW w:w="7516" w:type="dxa"/>
            <w:gridSpan w:val="3"/>
            <w:shd w:val="clear" w:color="auto" w:fill="auto"/>
          </w:tcPr>
          <w:p w14:paraId="6DEBE669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Choice of formats for the identification of a party.</w:t>
            </w:r>
          </w:p>
        </w:tc>
      </w:tr>
      <w:tr w:rsidR="00C16FF8" w14:paraId="5A5B1247" w14:textId="77777777" w:rsidTr="008814B8">
        <w:tc>
          <w:tcPr>
            <w:tcW w:w="2222" w:type="dxa"/>
            <w:shd w:val="clear" w:color="auto" w:fill="auto"/>
          </w:tcPr>
          <w:p w14:paraId="4502DD7F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lastRenderedPageBreak/>
              <w:t>Element</w:t>
            </w:r>
          </w:p>
        </w:tc>
        <w:tc>
          <w:tcPr>
            <w:tcW w:w="656" w:type="dxa"/>
            <w:shd w:val="clear" w:color="auto" w:fill="auto"/>
          </w:tcPr>
          <w:p w14:paraId="19F82AE7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Mult.</w:t>
            </w:r>
          </w:p>
        </w:tc>
        <w:tc>
          <w:tcPr>
            <w:tcW w:w="4790" w:type="dxa"/>
            <w:shd w:val="clear" w:color="auto" w:fill="auto"/>
          </w:tcPr>
          <w:p w14:paraId="6092AA9F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Definition</w:t>
            </w:r>
          </w:p>
        </w:tc>
        <w:tc>
          <w:tcPr>
            <w:tcW w:w="2070" w:type="dxa"/>
            <w:shd w:val="clear" w:color="auto" w:fill="auto"/>
          </w:tcPr>
          <w:p w14:paraId="75A87345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Data Type</w:t>
            </w:r>
          </w:p>
        </w:tc>
      </w:tr>
      <w:tr w:rsidR="00C16FF8" w14:paraId="291B8101" w14:textId="77777777" w:rsidTr="008814B8">
        <w:tc>
          <w:tcPr>
            <w:tcW w:w="2222" w:type="dxa"/>
            <w:shd w:val="clear" w:color="auto" w:fill="auto"/>
          </w:tcPr>
          <w:p w14:paraId="72D92381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AnyBIC</w:t>
            </w:r>
          </w:p>
        </w:tc>
        <w:tc>
          <w:tcPr>
            <w:tcW w:w="656" w:type="dxa"/>
            <w:shd w:val="clear" w:color="auto" w:fill="auto"/>
          </w:tcPr>
          <w:p w14:paraId="0F33F36B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[</w:t>
            </w:r>
            <w:proofErr w:type="gramStart"/>
            <w:r w:rsidRPr="001F33EE">
              <w:rPr>
                <w:rFonts w:ascii="Calibri" w:hAnsi="Calibri" w:cs="Calibri"/>
                <w:sz w:val="20"/>
              </w:rPr>
              <w:t>1..</w:t>
            </w:r>
            <w:proofErr w:type="gramEnd"/>
            <w:r w:rsidRPr="001F33EE">
              <w:rPr>
                <w:rFonts w:ascii="Calibri" w:hAnsi="Calibri" w:cs="Calibri"/>
                <w:sz w:val="20"/>
              </w:rPr>
              <w:t>1]</w:t>
            </w:r>
          </w:p>
        </w:tc>
        <w:tc>
          <w:tcPr>
            <w:tcW w:w="4790" w:type="dxa"/>
            <w:shd w:val="clear" w:color="auto" w:fill="auto"/>
          </w:tcPr>
          <w:p w14:paraId="570E048B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Code allocated to a financial or non-financial institution by the ISO 9362 Registration Authority, as described in ISO 9362 "Banking - Banking telecommunication messages - Business identifier code (BIC)".</w:t>
            </w:r>
          </w:p>
        </w:tc>
        <w:tc>
          <w:tcPr>
            <w:tcW w:w="2070" w:type="dxa"/>
            <w:shd w:val="clear" w:color="auto" w:fill="auto"/>
          </w:tcPr>
          <w:p w14:paraId="4FD13CEF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  <w:lang w:eastAsia="it-IT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AnyBICIdentifier</w:t>
            </w:r>
          </w:p>
        </w:tc>
      </w:tr>
      <w:tr w:rsidR="00C16FF8" w14:paraId="6F99B979" w14:textId="77777777" w:rsidTr="008814B8">
        <w:tc>
          <w:tcPr>
            <w:tcW w:w="2222" w:type="dxa"/>
            <w:shd w:val="clear" w:color="auto" w:fill="auto"/>
          </w:tcPr>
          <w:p w14:paraId="1F30D796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ProprietaryIdentification</w:t>
            </w:r>
          </w:p>
        </w:tc>
        <w:tc>
          <w:tcPr>
            <w:tcW w:w="656" w:type="dxa"/>
            <w:shd w:val="clear" w:color="auto" w:fill="auto"/>
          </w:tcPr>
          <w:p w14:paraId="2FCB4F43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[</w:t>
            </w:r>
            <w:proofErr w:type="gramStart"/>
            <w:r w:rsidRPr="001F33EE">
              <w:rPr>
                <w:rFonts w:ascii="Calibri" w:hAnsi="Calibri" w:cs="Calibri"/>
                <w:sz w:val="20"/>
              </w:rPr>
              <w:t>1..</w:t>
            </w:r>
            <w:proofErr w:type="gramEnd"/>
            <w:r w:rsidRPr="001F33EE">
              <w:rPr>
                <w:rFonts w:ascii="Calibri" w:hAnsi="Calibri" w:cs="Calibri"/>
                <w:sz w:val="20"/>
              </w:rPr>
              <w:t>1]</w:t>
            </w:r>
          </w:p>
        </w:tc>
        <w:tc>
          <w:tcPr>
            <w:tcW w:w="4790" w:type="dxa"/>
            <w:shd w:val="clear" w:color="auto" w:fill="auto"/>
          </w:tcPr>
          <w:p w14:paraId="25AC98E7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  <w:lang w:eastAsia="it-IT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Unique and unambiguous identifier, as assigned to a financial institution using a proprietary identification scheme.</w:t>
            </w:r>
          </w:p>
        </w:tc>
        <w:tc>
          <w:tcPr>
            <w:tcW w:w="2070" w:type="dxa"/>
            <w:shd w:val="clear" w:color="auto" w:fill="auto"/>
          </w:tcPr>
          <w:p w14:paraId="6972AE68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  <w:lang w:eastAsia="it-IT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Generic Identification 1</w:t>
            </w:r>
          </w:p>
        </w:tc>
      </w:tr>
      <w:tr w:rsidR="00C16FF8" w14:paraId="58BB09A7" w14:textId="77777777" w:rsidTr="008814B8">
        <w:tc>
          <w:tcPr>
            <w:tcW w:w="2222" w:type="dxa"/>
            <w:shd w:val="clear" w:color="auto" w:fill="auto"/>
          </w:tcPr>
          <w:p w14:paraId="776D5429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  <w:lang w:eastAsia="it-IT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NameAndAddress</w:t>
            </w:r>
          </w:p>
        </w:tc>
        <w:tc>
          <w:tcPr>
            <w:tcW w:w="656" w:type="dxa"/>
            <w:shd w:val="clear" w:color="auto" w:fill="auto"/>
          </w:tcPr>
          <w:p w14:paraId="384296D1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</w:rPr>
            </w:pPr>
            <w:r w:rsidRPr="001F33EE">
              <w:rPr>
                <w:rFonts w:ascii="Calibri" w:hAnsi="Calibri" w:cs="Calibri"/>
                <w:sz w:val="20"/>
              </w:rPr>
              <w:t>[</w:t>
            </w:r>
            <w:proofErr w:type="gramStart"/>
            <w:r w:rsidRPr="001F33EE">
              <w:rPr>
                <w:rFonts w:ascii="Calibri" w:hAnsi="Calibri" w:cs="Calibri"/>
                <w:sz w:val="20"/>
              </w:rPr>
              <w:t>1..</w:t>
            </w:r>
            <w:proofErr w:type="gramEnd"/>
            <w:r w:rsidRPr="001F33EE">
              <w:rPr>
                <w:rFonts w:ascii="Calibri" w:hAnsi="Calibri" w:cs="Calibri"/>
                <w:sz w:val="20"/>
              </w:rPr>
              <w:t>1]</w:t>
            </w:r>
          </w:p>
        </w:tc>
        <w:tc>
          <w:tcPr>
            <w:tcW w:w="4790" w:type="dxa"/>
            <w:shd w:val="clear" w:color="auto" w:fill="auto"/>
          </w:tcPr>
          <w:p w14:paraId="6DA09562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sz w:val="20"/>
                <w:lang w:eastAsia="it-IT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Name and address of a party.</w:t>
            </w:r>
          </w:p>
        </w:tc>
        <w:tc>
          <w:tcPr>
            <w:tcW w:w="2070" w:type="dxa"/>
            <w:shd w:val="clear" w:color="auto" w:fill="auto"/>
          </w:tcPr>
          <w:p w14:paraId="448FB90D" w14:textId="77777777" w:rsidR="00C16FF8" w:rsidRPr="001F33EE" w:rsidRDefault="00C16FF8" w:rsidP="008814B8">
            <w:pPr>
              <w:spacing w:before="40" w:after="40"/>
              <w:rPr>
                <w:rFonts w:ascii="Calibri" w:hAnsi="Calibri" w:cs="Calibri"/>
                <w:bCs/>
                <w:sz w:val="20"/>
                <w:lang w:eastAsia="it-IT"/>
              </w:rPr>
            </w:pPr>
            <w:r w:rsidRPr="001F33EE">
              <w:rPr>
                <w:rFonts w:ascii="Calibri" w:hAnsi="Calibri" w:cs="Calibri"/>
                <w:sz w:val="20"/>
                <w:lang w:eastAsia="it-IT"/>
              </w:rPr>
              <w:t>NameAndAddress5</w:t>
            </w:r>
          </w:p>
        </w:tc>
      </w:tr>
    </w:tbl>
    <w:p w14:paraId="1A6E3505" w14:textId="77777777" w:rsidR="00C16FF8" w:rsidRDefault="00C16FF8" w:rsidP="00C16FF8">
      <w:pPr>
        <w:rPr>
          <w:rFonts w:ascii="Arial" w:hAnsi="Arial" w:cs="Arial"/>
          <w:b/>
          <w:sz w:val="20"/>
        </w:rPr>
      </w:pPr>
    </w:p>
    <w:p w14:paraId="10F4C322" w14:textId="77777777" w:rsidR="0003470D" w:rsidRPr="00F720F7" w:rsidRDefault="0003470D" w:rsidP="0003470D">
      <w:pPr>
        <w:rPr>
          <w:rFonts w:ascii="Arial" w:hAnsi="Arial" w:cs="Arial"/>
          <w:sz w:val="20"/>
        </w:rPr>
      </w:pPr>
      <w:r w:rsidRPr="00F720F7">
        <w:rPr>
          <w:rFonts w:ascii="Arial" w:hAnsi="Arial" w:cs="Arial"/>
          <w:sz w:val="20"/>
        </w:rPr>
        <w:t>The impacted CAMT message elements:</w:t>
      </w:r>
    </w:p>
    <w:p w14:paraId="18EE9950" w14:textId="77777777" w:rsidR="00C16FF8" w:rsidRDefault="00C16FF8" w:rsidP="00C10022">
      <w:pPr>
        <w:rPr>
          <w:rFonts w:ascii="Arial" w:hAnsi="Arial" w:cs="Arial"/>
          <w:b/>
          <w:sz w:val="20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4500"/>
      </w:tblGrid>
      <w:tr w:rsidR="00C16FF8" w:rsidRPr="0098068F" w14:paraId="43EC3FFD" w14:textId="77777777" w:rsidTr="008814B8">
        <w:tc>
          <w:tcPr>
            <w:tcW w:w="4518" w:type="dxa"/>
            <w:shd w:val="clear" w:color="auto" w:fill="D9D9D9"/>
          </w:tcPr>
          <w:p w14:paraId="147C611D" w14:textId="77777777" w:rsidR="00C16FF8" w:rsidRPr="00517F05" w:rsidRDefault="00C16FF8" w:rsidP="008814B8">
            <w:pPr>
              <w:spacing w:before="0"/>
              <w:rPr>
                <w:rFonts w:ascii="Calibri" w:hAnsi="Calibri" w:cs="Calibri"/>
                <w:b/>
                <w:sz w:val="18"/>
                <w:szCs w:val="18"/>
              </w:rPr>
            </w:pPr>
            <w:r w:rsidRPr="0033620C">
              <w:rPr>
                <w:rFonts w:ascii="Arial" w:hAnsi="Arial" w:cs="Arial"/>
                <w:b/>
                <w:sz w:val="20"/>
              </w:rPr>
              <w:t xml:space="preserve"> </w:t>
            </w:r>
            <w:r w:rsidRPr="00517F05">
              <w:rPr>
                <w:rFonts w:ascii="Calibri" w:hAnsi="Calibri" w:cs="Calibri"/>
                <w:b/>
                <w:sz w:val="18"/>
                <w:szCs w:val="18"/>
              </w:rPr>
              <w:t>Element</w:t>
            </w:r>
          </w:p>
        </w:tc>
        <w:tc>
          <w:tcPr>
            <w:tcW w:w="4500" w:type="dxa"/>
            <w:shd w:val="clear" w:color="auto" w:fill="D9D9D9"/>
          </w:tcPr>
          <w:p w14:paraId="02A66138" w14:textId="77777777" w:rsidR="00C16FF8" w:rsidRPr="00517F05" w:rsidRDefault="00C16FF8" w:rsidP="008814B8">
            <w:pPr>
              <w:spacing w:before="0"/>
              <w:rPr>
                <w:rFonts w:ascii="Calibri" w:hAnsi="Calibri" w:cs="Calibri"/>
                <w:b/>
                <w:sz w:val="18"/>
                <w:szCs w:val="18"/>
              </w:rPr>
            </w:pPr>
            <w:r w:rsidRPr="00517F05">
              <w:rPr>
                <w:rFonts w:ascii="Calibri" w:hAnsi="Calibri" w:cs="Calibri"/>
                <w:b/>
                <w:sz w:val="18"/>
                <w:szCs w:val="18"/>
              </w:rPr>
              <w:t>Message component</w:t>
            </w:r>
          </w:p>
        </w:tc>
      </w:tr>
      <w:tr w:rsidR="00C16FF8" w:rsidRPr="0098068F" w14:paraId="7BB853A0" w14:textId="77777777" w:rsidTr="008814B8">
        <w:tc>
          <w:tcPr>
            <w:tcW w:w="4518" w:type="dxa"/>
            <w:shd w:val="clear" w:color="auto" w:fill="auto"/>
          </w:tcPr>
          <w:p w14:paraId="595FB1EA" w14:textId="77777777" w:rsidR="00C16FF8" w:rsidRPr="001F33EE" w:rsidRDefault="00C16FF8" w:rsidP="008814B8">
            <w:pPr>
              <w:spacing w:before="0"/>
              <w:outlineLvl w:val="0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F33E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PoolRef/RefIssr</w:t>
            </w:r>
          </w:p>
        </w:tc>
        <w:tc>
          <w:tcPr>
            <w:tcW w:w="4500" w:type="dxa"/>
            <w:shd w:val="clear" w:color="auto" w:fill="auto"/>
          </w:tcPr>
          <w:p w14:paraId="47394928" w14:textId="77777777" w:rsidR="00C16FF8" w:rsidRPr="001F33EE" w:rsidRDefault="00C16FF8" w:rsidP="008814B8">
            <w:pPr>
              <w:spacing w:before="0"/>
              <w:outlineLvl w:val="0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F33E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PartyIdentification2Choice</w:t>
            </w:r>
          </w:p>
        </w:tc>
      </w:tr>
      <w:tr w:rsidR="00C16FF8" w:rsidRPr="0098068F" w14:paraId="06458C1A" w14:textId="77777777" w:rsidTr="008814B8">
        <w:tc>
          <w:tcPr>
            <w:tcW w:w="4518" w:type="dxa"/>
            <w:shd w:val="clear" w:color="auto" w:fill="auto"/>
          </w:tcPr>
          <w:p w14:paraId="696D27FE" w14:textId="77777777" w:rsidR="00C16FF8" w:rsidRPr="001F33EE" w:rsidRDefault="00C16FF8" w:rsidP="008814B8">
            <w:pPr>
              <w:spacing w:before="0"/>
              <w:outlineLvl w:val="0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F33EE">
              <w:rPr>
                <w:rFonts w:ascii="Calibri" w:hAnsi="Calibri" w:cs="Calibri"/>
                <w:sz w:val="18"/>
                <w:szCs w:val="18"/>
              </w:rPr>
              <w:t>PrvsRef</w:t>
            </w:r>
            <w:r w:rsidRPr="001F33E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/RefIssr</w:t>
            </w:r>
          </w:p>
        </w:tc>
        <w:tc>
          <w:tcPr>
            <w:tcW w:w="4500" w:type="dxa"/>
            <w:shd w:val="clear" w:color="auto" w:fill="auto"/>
          </w:tcPr>
          <w:p w14:paraId="1BA439AE" w14:textId="77777777" w:rsidR="00C16FF8" w:rsidRPr="001F33EE" w:rsidRDefault="00C16FF8" w:rsidP="008814B8">
            <w:pPr>
              <w:spacing w:before="0"/>
              <w:outlineLvl w:val="0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F33E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PartyIdentification2Choice</w:t>
            </w:r>
          </w:p>
        </w:tc>
      </w:tr>
      <w:tr w:rsidR="00C16FF8" w:rsidRPr="0098068F" w14:paraId="4282C272" w14:textId="77777777" w:rsidTr="008814B8">
        <w:tc>
          <w:tcPr>
            <w:tcW w:w="4518" w:type="dxa"/>
            <w:shd w:val="clear" w:color="auto" w:fill="auto"/>
          </w:tcPr>
          <w:p w14:paraId="351C644A" w14:textId="77777777" w:rsidR="00C16FF8" w:rsidRPr="001F33EE" w:rsidRDefault="00C16FF8" w:rsidP="008814B8">
            <w:pPr>
              <w:spacing w:before="0"/>
              <w:outlineLvl w:val="2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1F33EE">
              <w:rPr>
                <w:rFonts w:ascii="Calibri" w:hAnsi="Calibri" w:cs="Calibri"/>
                <w:sz w:val="18"/>
                <w:szCs w:val="18"/>
              </w:rPr>
              <w:t>RltdRef</w:t>
            </w:r>
            <w:r w:rsidRPr="001F33EE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/RefIssr</w:t>
            </w:r>
          </w:p>
        </w:tc>
        <w:tc>
          <w:tcPr>
            <w:tcW w:w="4500" w:type="dxa"/>
            <w:shd w:val="clear" w:color="auto" w:fill="auto"/>
          </w:tcPr>
          <w:p w14:paraId="1D40301E" w14:textId="77777777" w:rsidR="00C16FF8" w:rsidRPr="001F33EE" w:rsidRDefault="00C16FF8" w:rsidP="008814B8">
            <w:pPr>
              <w:spacing w:before="0"/>
              <w:outlineLvl w:val="2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517F05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PartyIdentification2Choice</w:t>
            </w:r>
          </w:p>
        </w:tc>
      </w:tr>
      <w:tr w:rsidR="00C16FF8" w:rsidRPr="0098068F" w14:paraId="0A4B7E43" w14:textId="77777777" w:rsidTr="008814B8">
        <w:tc>
          <w:tcPr>
            <w:tcW w:w="4518" w:type="dxa"/>
            <w:shd w:val="clear" w:color="auto" w:fill="auto"/>
          </w:tcPr>
          <w:p w14:paraId="2D6A5732" w14:textId="77777777" w:rsidR="00C16FF8" w:rsidRPr="00517F05" w:rsidRDefault="00C16FF8" w:rsidP="008814B8">
            <w:pPr>
              <w:spacing w:before="0"/>
              <w:outlineLvl w:val="1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517F05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FndCshFcstDtls/BrkdwnByPty/Pty</w:t>
            </w:r>
          </w:p>
        </w:tc>
        <w:tc>
          <w:tcPr>
            <w:tcW w:w="4500" w:type="dxa"/>
            <w:shd w:val="clear" w:color="auto" w:fill="auto"/>
          </w:tcPr>
          <w:p w14:paraId="639FF373" w14:textId="77777777" w:rsidR="00C16FF8" w:rsidRPr="00517F05" w:rsidRDefault="00C16FF8" w:rsidP="008814B8">
            <w:pPr>
              <w:spacing w:before="0"/>
              <w:rPr>
                <w:sz w:val="18"/>
                <w:szCs w:val="18"/>
              </w:rPr>
            </w:pPr>
            <w:r w:rsidRPr="00517F05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PartyIdentification2Choice</w:t>
            </w:r>
          </w:p>
        </w:tc>
      </w:tr>
      <w:tr w:rsidR="00C16FF8" w:rsidRPr="0098068F" w14:paraId="711425BA" w14:textId="77777777" w:rsidTr="008814B8">
        <w:tc>
          <w:tcPr>
            <w:tcW w:w="4518" w:type="dxa"/>
            <w:shd w:val="clear" w:color="auto" w:fill="auto"/>
          </w:tcPr>
          <w:p w14:paraId="0D379102" w14:textId="77777777" w:rsidR="00C16FF8" w:rsidRPr="00517F05" w:rsidRDefault="00C16FF8" w:rsidP="008814B8">
            <w:pPr>
              <w:spacing w:before="0"/>
              <w:outlineLvl w:val="1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517F05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FndCshFcstDtls/BrkdwnByUsrDfndParam/Pty</w:t>
            </w:r>
          </w:p>
        </w:tc>
        <w:tc>
          <w:tcPr>
            <w:tcW w:w="4500" w:type="dxa"/>
            <w:shd w:val="clear" w:color="auto" w:fill="auto"/>
          </w:tcPr>
          <w:p w14:paraId="27C2A3D7" w14:textId="77777777" w:rsidR="00C16FF8" w:rsidRPr="00517F05" w:rsidRDefault="00C16FF8" w:rsidP="008814B8">
            <w:pPr>
              <w:spacing w:before="0"/>
              <w:rPr>
                <w:sz w:val="18"/>
                <w:szCs w:val="18"/>
              </w:rPr>
            </w:pPr>
            <w:r w:rsidRPr="00517F05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PartyIdentification2Choice</w:t>
            </w:r>
          </w:p>
        </w:tc>
      </w:tr>
    </w:tbl>
    <w:p w14:paraId="2CF83A5F" w14:textId="77777777" w:rsidR="00C16FF8" w:rsidRPr="00C16FF8" w:rsidRDefault="00C16FF8" w:rsidP="000408BA">
      <w:pPr>
        <w:rPr>
          <w:szCs w:val="24"/>
        </w:rPr>
      </w:pPr>
    </w:p>
    <w:p w14:paraId="49E41445" w14:textId="77777777" w:rsidR="005246BE" w:rsidRPr="00886CBE" w:rsidRDefault="005246BE" w:rsidP="00C656B1">
      <w:pPr>
        <w:numPr>
          <w:ilvl w:val="0"/>
          <w:numId w:val="6"/>
        </w:numPr>
        <w:rPr>
          <w:rFonts w:ascii="Arial" w:hAnsi="Arial" w:cs="Arial"/>
          <w:b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 xml:space="preserve">Purpose of the </w:t>
      </w:r>
      <w:r w:rsidR="00577861" w:rsidRPr="00886CBE">
        <w:rPr>
          <w:rFonts w:ascii="Arial" w:hAnsi="Arial" w:cs="Arial"/>
          <w:b/>
          <w:sz w:val="20"/>
          <w:lang w:val="en-GB"/>
        </w:rPr>
        <w:t>change</w:t>
      </w:r>
      <w:r w:rsidRPr="00886CBE">
        <w:rPr>
          <w:rFonts w:ascii="Arial" w:hAnsi="Arial" w:cs="Arial"/>
          <w:b/>
          <w:sz w:val="20"/>
          <w:lang w:val="en-GB"/>
        </w:rPr>
        <w:t>:</w:t>
      </w:r>
    </w:p>
    <w:p w14:paraId="4DEA7907" w14:textId="77777777" w:rsidR="00C16FF8" w:rsidRDefault="000E1C4F" w:rsidP="00865C2F">
      <w:r>
        <w:rPr>
          <w:rFonts w:cs="Arial"/>
        </w:rPr>
        <w:t xml:space="preserve">Compliance with ISO 20022 and ISO 9362 – Business Identifier Code (BIC). See also CR0026 on this </w:t>
      </w:r>
      <w:proofErr w:type="gramStart"/>
      <w:r>
        <w:rPr>
          <w:rFonts w:cs="Arial"/>
        </w:rPr>
        <w:t>topic</w:t>
      </w:r>
      <w:proofErr w:type="gramEnd"/>
      <w:r>
        <w:rPr>
          <w:rFonts w:cs="Arial"/>
        </w:rPr>
        <w:t xml:space="preserve"> which was already approved by the Securities SEG for implementation.</w:t>
      </w:r>
    </w:p>
    <w:p w14:paraId="3731D2D7" w14:textId="77777777" w:rsidR="00CB683A" w:rsidRPr="00886CBE" w:rsidRDefault="00AA5E76" w:rsidP="00F34C66">
      <w:pPr>
        <w:numPr>
          <w:ilvl w:val="0"/>
          <w:numId w:val="6"/>
        </w:numPr>
        <w:rPr>
          <w:rFonts w:ascii="Arial" w:hAnsi="Arial" w:cs="Arial"/>
          <w:b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>Urgency of the request</w:t>
      </w:r>
      <w:r w:rsidR="00783891" w:rsidRPr="00886CBE">
        <w:rPr>
          <w:rFonts w:ascii="Arial" w:hAnsi="Arial" w:cs="Arial"/>
          <w:b/>
          <w:sz w:val="20"/>
          <w:lang w:val="en-GB"/>
        </w:rPr>
        <w:t>:</w:t>
      </w:r>
    </w:p>
    <w:p w14:paraId="0D725F05" w14:textId="77777777" w:rsidR="00886CBE" w:rsidRPr="00995C0C" w:rsidRDefault="00886CBE" w:rsidP="00886CBE">
      <w:pPr>
        <w:rPr>
          <w:rFonts w:ascii="Arial" w:hAnsi="Arial" w:cs="Arial"/>
          <w:sz w:val="20"/>
          <w:lang w:val="en-GB"/>
        </w:rPr>
      </w:pPr>
      <w:r w:rsidRPr="00995C0C">
        <w:rPr>
          <w:rFonts w:ascii="Arial" w:hAnsi="Arial" w:cs="Arial"/>
          <w:sz w:val="20"/>
          <w:lang w:val="en-GB"/>
        </w:rPr>
        <w:t xml:space="preserve">Next yearly </w:t>
      </w:r>
      <w:r w:rsidR="00995C0C" w:rsidRPr="00995C0C">
        <w:rPr>
          <w:rFonts w:ascii="Arial" w:hAnsi="Arial" w:cs="Arial"/>
          <w:sz w:val="20"/>
          <w:lang w:val="en-GB"/>
        </w:rPr>
        <w:t xml:space="preserve">maintenance </w:t>
      </w:r>
      <w:r w:rsidRPr="00995C0C">
        <w:rPr>
          <w:rFonts w:ascii="Arial" w:hAnsi="Arial" w:cs="Arial"/>
          <w:sz w:val="20"/>
          <w:lang w:val="en-GB"/>
        </w:rPr>
        <w:t>cycle (2014/2015).</w:t>
      </w:r>
    </w:p>
    <w:p w14:paraId="77B3FF48" w14:textId="77777777" w:rsidR="00C16FF8" w:rsidRPr="0085530C" w:rsidRDefault="00886CBE" w:rsidP="00F34C66">
      <w:pPr>
        <w:rPr>
          <w:i/>
          <w:szCs w:val="24"/>
          <w:lang w:val="en-GB"/>
        </w:rPr>
      </w:pPr>
      <w:r w:rsidRPr="00CD62BC">
        <w:rPr>
          <w:rFonts w:ascii="Arial" w:hAnsi="Arial" w:cs="Arial"/>
          <w:i/>
          <w:sz w:val="20"/>
          <w:lang w:val="en-GB"/>
        </w:rPr>
        <w:t xml:space="preserve">It was originally planned that this kind of change would be done in </w:t>
      </w:r>
      <w:r w:rsidR="000E1C4F">
        <w:rPr>
          <w:rFonts w:ascii="Arial" w:hAnsi="Arial" w:cs="Arial"/>
          <w:i/>
          <w:sz w:val="20"/>
          <w:lang w:val="en-GB"/>
        </w:rPr>
        <w:t>a later maintenance cycle</w:t>
      </w:r>
      <w:r w:rsidRPr="00CD62BC">
        <w:rPr>
          <w:rFonts w:ascii="Arial" w:hAnsi="Arial" w:cs="Arial"/>
          <w:i/>
          <w:sz w:val="20"/>
          <w:lang w:val="en-GB"/>
        </w:rPr>
        <w:t xml:space="preserve">. However, it would </w:t>
      </w:r>
      <w:proofErr w:type="gramStart"/>
      <w:r w:rsidRPr="00CD62BC">
        <w:rPr>
          <w:rFonts w:ascii="Arial" w:hAnsi="Arial" w:cs="Arial"/>
          <w:i/>
          <w:sz w:val="20"/>
          <w:lang w:val="en-GB"/>
        </w:rPr>
        <w:t>actually be</w:t>
      </w:r>
      <w:proofErr w:type="gramEnd"/>
      <w:r w:rsidRPr="00CD62BC">
        <w:rPr>
          <w:rFonts w:ascii="Arial" w:hAnsi="Arial" w:cs="Arial"/>
          <w:i/>
          <w:sz w:val="20"/>
          <w:lang w:val="en-GB"/>
        </w:rPr>
        <w:t xml:space="preserve"> better on resources for SEG </w:t>
      </w:r>
      <w:r w:rsidR="00E80898">
        <w:rPr>
          <w:rFonts w:ascii="Arial" w:hAnsi="Arial" w:cs="Arial"/>
          <w:i/>
          <w:sz w:val="20"/>
          <w:lang w:val="en-GB"/>
        </w:rPr>
        <w:t xml:space="preserve">Investment Funds Evaluation </w:t>
      </w:r>
      <w:proofErr w:type="gramStart"/>
      <w:r w:rsidR="00E80898">
        <w:rPr>
          <w:rFonts w:ascii="Arial" w:hAnsi="Arial" w:cs="Arial"/>
          <w:i/>
          <w:sz w:val="20"/>
          <w:lang w:val="en-GB"/>
        </w:rPr>
        <w:t xml:space="preserve">Team </w:t>
      </w:r>
      <w:r w:rsidRPr="00CD62BC">
        <w:rPr>
          <w:rFonts w:ascii="Arial" w:hAnsi="Arial" w:cs="Arial"/>
          <w:i/>
          <w:sz w:val="20"/>
          <w:lang w:val="en-GB"/>
        </w:rPr>
        <w:t xml:space="preserve"> and</w:t>
      </w:r>
      <w:proofErr w:type="gramEnd"/>
      <w:r w:rsidRPr="00CD62BC">
        <w:rPr>
          <w:rFonts w:ascii="Arial" w:hAnsi="Arial" w:cs="Arial"/>
          <w:i/>
          <w:sz w:val="20"/>
          <w:lang w:val="en-GB"/>
        </w:rPr>
        <w:t xml:space="preserve"> </w:t>
      </w:r>
      <w:r w:rsidR="00E80898">
        <w:rPr>
          <w:rFonts w:ascii="Arial" w:hAnsi="Arial" w:cs="Arial"/>
          <w:i/>
          <w:sz w:val="20"/>
          <w:lang w:val="en-GB"/>
        </w:rPr>
        <w:t xml:space="preserve">the </w:t>
      </w:r>
      <w:r w:rsidR="00224775">
        <w:rPr>
          <w:rFonts w:ascii="Arial" w:hAnsi="Arial" w:cs="Arial"/>
          <w:i/>
          <w:sz w:val="20"/>
          <w:lang w:val="en-GB"/>
        </w:rPr>
        <w:t>organisation</w:t>
      </w:r>
      <w:r w:rsidRPr="00CD62BC">
        <w:rPr>
          <w:rFonts w:ascii="Arial" w:hAnsi="Arial" w:cs="Arial"/>
          <w:i/>
          <w:sz w:val="20"/>
          <w:lang w:val="en-GB"/>
        </w:rPr>
        <w:t xml:space="preserve"> responsible for carrying out the maintenance to do this technical modification in the next maintenance cycle, that is 2014/2015.</w:t>
      </w:r>
      <w:r>
        <w:rPr>
          <w:rFonts w:ascii="Arial" w:hAnsi="Arial" w:cs="Arial"/>
          <w:i/>
          <w:sz w:val="20"/>
          <w:lang w:val="en-GB"/>
        </w:rPr>
        <w:t xml:space="preserve"> </w:t>
      </w:r>
      <w:r w:rsidR="001B5496" w:rsidRPr="001B5496">
        <w:rPr>
          <w:rFonts w:ascii="Arial" w:hAnsi="Arial" w:cs="Arial"/>
          <w:i/>
          <w:sz w:val="20"/>
          <w:lang w:val="en-GB"/>
        </w:rPr>
        <w:t xml:space="preserve">It also makes sense to carry out this change whilst adoption rates of these messages are still low </w:t>
      </w:r>
      <w:proofErr w:type="gramStart"/>
      <w:r w:rsidR="001B5496" w:rsidRPr="001B5496">
        <w:rPr>
          <w:rFonts w:ascii="Arial" w:hAnsi="Arial" w:cs="Arial"/>
          <w:i/>
          <w:sz w:val="20"/>
          <w:lang w:val="en-GB"/>
        </w:rPr>
        <w:t>so as to</w:t>
      </w:r>
      <w:proofErr w:type="gramEnd"/>
      <w:r w:rsidR="001B5496" w:rsidRPr="001B5496">
        <w:rPr>
          <w:rFonts w:ascii="Arial" w:hAnsi="Arial" w:cs="Arial"/>
          <w:i/>
          <w:sz w:val="20"/>
          <w:lang w:val="en-GB"/>
        </w:rPr>
        <w:t xml:space="preserve"> minimise </w:t>
      </w:r>
      <w:r w:rsidR="00AE43F4">
        <w:rPr>
          <w:rFonts w:ascii="Arial" w:hAnsi="Arial" w:cs="Arial"/>
          <w:i/>
          <w:sz w:val="20"/>
          <w:lang w:val="en-GB"/>
        </w:rPr>
        <w:t xml:space="preserve">the </w:t>
      </w:r>
      <w:r w:rsidR="001B5496" w:rsidRPr="001B5496">
        <w:rPr>
          <w:rFonts w:ascii="Arial" w:hAnsi="Arial" w:cs="Arial"/>
          <w:i/>
          <w:sz w:val="20"/>
          <w:lang w:val="en-GB"/>
        </w:rPr>
        <w:t>impact</w:t>
      </w:r>
      <w:r w:rsidR="009D595F">
        <w:rPr>
          <w:rFonts w:ascii="Arial" w:hAnsi="Arial" w:cs="Arial"/>
          <w:i/>
          <w:sz w:val="20"/>
          <w:lang w:val="en-GB"/>
        </w:rPr>
        <w:t>.</w:t>
      </w:r>
    </w:p>
    <w:p w14:paraId="4F555D66" w14:textId="77777777" w:rsidR="00783891" w:rsidRPr="00886CBE" w:rsidRDefault="00FF4AEF" w:rsidP="00451986">
      <w:pPr>
        <w:numPr>
          <w:ilvl w:val="0"/>
          <w:numId w:val="6"/>
        </w:numPr>
        <w:rPr>
          <w:rFonts w:ascii="Arial" w:hAnsi="Arial" w:cs="Arial"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>Business examples</w:t>
      </w:r>
      <w:r w:rsidR="00783891" w:rsidRPr="00886CBE">
        <w:rPr>
          <w:rFonts w:ascii="Arial" w:hAnsi="Arial" w:cs="Arial"/>
          <w:b/>
          <w:sz w:val="20"/>
          <w:lang w:val="en-GB"/>
        </w:rPr>
        <w:t>:</w:t>
      </w:r>
    </w:p>
    <w:p w14:paraId="18ECEFCB" w14:textId="77777777" w:rsidR="000E1C4F" w:rsidRDefault="00C16FF8" w:rsidP="008814B8">
      <w:pPr>
        <w:rPr>
          <w:rFonts w:ascii="Arial" w:hAnsi="Arial" w:cs="Arial"/>
          <w:sz w:val="20"/>
          <w:lang w:val="en-GB"/>
        </w:rPr>
      </w:pPr>
      <w:r w:rsidRPr="00886CBE">
        <w:rPr>
          <w:rFonts w:ascii="Arial" w:hAnsi="Arial" w:cs="Arial"/>
          <w:sz w:val="20"/>
          <w:lang w:val="en-GB"/>
        </w:rPr>
        <w:t>None</w:t>
      </w:r>
    </w:p>
    <w:p w14:paraId="54B7FB23" w14:textId="77777777" w:rsidR="008814B8" w:rsidRPr="00886CBE" w:rsidRDefault="000E1C4F" w:rsidP="008814B8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br w:type="page"/>
      </w:r>
    </w:p>
    <w:p w14:paraId="312A56FE" w14:textId="77777777" w:rsidR="008814B8" w:rsidRPr="00886CBE" w:rsidRDefault="008814B8" w:rsidP="008814B8">
      <w:pPr>
        <w:numPr>
          <w:ilvl w:val="0"/>
          <w:numId w:val="6"/>
        </w:numPr>
        <w:rPr>
          <w:rFonts w:ascii="Arial" w:hAnsi="Arial" w:cs="Arial"/>
          <w:sz w:val="20"/>
          <w:lang w:val="en-GB"/>
        </w:rPr>
      </w:pPr>
      <w:r w:rsidRPr="00886CBE">
        <w:rPr>
          <w:rFonts w:ascii="Arial" w:hAnsi="Arial" w:cs="Arial"/>
          <w:b/>
          <w:sz w:val="20"/>
          <w:lang w:val="en-GB"/>
        </w:rPr>
        <w:t>SEG recommendation:</w:t>
      </w:r>
    </w:p>
    <w:p w14:paraId="4058099E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886CBE" w14:paraId="60DA5231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0C75C6D9" w14:textId="77777777" w:rsidR="00C40729" w:rsidRPr="00886CBE" w:rsidRDefault="00C40729" w:rsidP="00A80F26">
            <w:pPr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886CBE">
              <w:rPr>
                <w:rFonts w:ascii="Arial" w:hAnsi="Arial" w:cs="Arial"/>
                <w:b/>
                <w:sz w:val="20"/>
                <w:lang w:val="en-GB"/>
              </w:rPr>
              <w:t>Consider</w:t>
            </w:r>
          </w:p>
        </w:tc>
        <w:tc>
          <w:tcPr>
            <w:tcW w:w="567" w:type="dxa"/>
          </w:tcPr>
          <w:p w14:paraId="1D5A1B25" w14:textId="77777777" w:rsidR="00C40729" w:rsidRPr="00886CBE" w:rsidRDefault="00BF63B6" w:rsidP="00E9305F">
            <w:pPr>
              <w:spacing w:before="40" w:after="40"/>
              <w:rPr>
                <w:rFonts w:ascii="Arial" w:hAnsi="Arial" w:cs="Arial"/>
                <w:color w:val="FF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0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4D029A5" w14:textId="77777777" w:rsidR="00C40729" w:rsidRPr="00886CBE" w:rsidRDefault="00C40729" w:rsidP="00E9305F">
            <w:pPr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886CBE">
              <w:rPr>
                <w:rFonts w:ascii="Arial" w:hAnsi="Arial" w:cs="Arial"/>
                <w:b/>
                <w:sz w:val="20"/>
                <w:lang w:val="en-GB"/>
              </w:rPr>
              <w:t>Timing</w:t>
            </w:r>
          </w:p>
        </w:tc>
      </w:tr>
      <w:tr w:rsidR="00130EB9" w:rsidRPr="00886CBE" w14:paraId="32880D58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329004EF" w14:textId="77777777" w:rsidR="00130EB9" w:rsidRPr="00886CBE" w:rsidRDefault="00130EB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A1A0436" w14:textId="77777777" w:rsidR="00130EB9" w:rsidRPr="00886CBE" w:rsidRDefault="00130EB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 xml:space="preserve">- </w:t>
            </w:r>
            <w:r w:rsidRPr="00886CBE">
              <w:rPr>
                <w:rFonts w:ascii="Arial" w:hAnsi="Arial" w:cs="Arial"/>
                <w:b/>
                <w:sz w:val="20"/>
                <w:lang w:val="en-GB"/>
              </w:rPr>
              <w:t>Next yearly cycle</w:t>
            </w:r>
            <w:r w:rsidR="00FF4AEF" w:rsidRPr="00886CBE">
              <w:rPr>
                <w:rFonts w:ascii="Arial" w:hAnsi="Arial" w:cs="Arial"/>
                <w:b/>
                <w:sz w:val="20"/>
                <w:lang w:val="en-GB"/>
              </w:rPr>
              <w:t>: 201</w:t>
            </w:r>
            <w:r w:rsidR="008050F5" w:rsidRPr="00886CBE">
              <w:rPr>
                <w:rFonts w:ascii="Arial" w:hAnsi="Arial" w:cs="Arial"/>
                <w:b/>
                <w:sz w:val="20"/>
                <w:lang w:val="en-GB"/>
              </w:rPr>
              <w:t>4</w:t>
            </w:r>
            <w:r w:rsidRPr="00886CBE">
              <w:rPr>
                <w:rFonts w:ascii="Arial" w:hAnsi="Arial" w:cs="Arial"/>
                <w:b/>
                <w:sz w:val="20"/>
                <w:lang w:val="en-GB"/>
              </w:rPr>
              <w:t>/201</w:t>
            </w:r>
            <w:r w:rsidR="008050F5" w:rsidRPr="00886CBE">
              <w:rPr>
                <w:rFonts w:ascii="Arial" w:hAnsi="Arial" w:cs="Arial"/>
                <w:b/>
                <w:sz w:val="20"/>
                <w:lang w:val="en-GB"/>
              </w:rPr>
              <w:t>5</w:t>
            </w:r>
          </w:p>
          <w:p w14:paraId="33207F15" w14:textId="77777777" w:rsidR="00130EB9" w:rsidRPr="00886CBE" w:rsidRDefault="00130EB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>(the change will be considered for implementation in the yearly maintenance cycle which starts in 201</w:t>
            </w:r>
            <w:r w:rsidR="008050F5" w:rsidRPr="00886CBE">
              <w:rPr>
                <w:rFonts w:ascii="Arial" w:hAnsi="Arial" w:cs="Arial"/>
                <w:sz w:val="20"/>
                <w:lang w:val="en-GB"/>
              </w:rPr>
              <w:t>4</w:t>
            </w:r>
            <w:r w:rsidRPr="00886CBE">
              <w:rPr>
                <w:rFonts w:ascii="Arial" w:hAnsi="Arial" w:cs="Arial"/>
                <w:sz w:val="20"/>
                <w:lang w:val="en-GB"/>
              </w:rPr>
              <w:t xml:space="preserve"> and completes with the publication of new messag</w:t>
            </w:r>
            <w:r w:rsidR="00EB6791" w:rsidRPr="00886CBE">
              <w:rPr>
                <w:rFonts w:ascii="Arial" w:hAnsi="Arial" w:cs="Arial"/>
                <w:sz w:val="20"/>
                <w:lang w:val="en-GB"/>
              </w:rPr>
              <w:t>e versions in the spring of 201</w:t>
            </w:r>
            <w:r w:rsidR="008050F5" w:rsidRPr="00886CBE">
              <w:rPr>
                <w:rFonts w:ascii="Arial" w:hAnsi="Arial" w:cs="Arial"/>
                <w:sz w:val="20"/>
                <w:lang w:val="en-GB"/>
              </w:rPr>
              <w:t>5</w:t>
            </w:r>
            <w:r w:rsidRPr="00886CBE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81EF3" w14:textId="77777777" w:rsidR="00130EB9" w:rsidRPr="00886CBE" w:rsidRDefault="00130EB9" w:rsidP="004B5195">
            <w:pPr>
              <w:spacing w:before="40" w:after="40"/>
              <w:jc w:val="both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</w:tc>
      </w:tr>
      <w:tr w:rsidR="00C40729" w:rsidRPr="00886CBE" w14:paraId="039AB5DF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2874C43C" w14:textId="77777777" w:rsidR="00C40729" w:rsidRPr="00886CBE" w:rsidRDefault="00C4072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298F9EB" w14:textId="77777777" w:rsidR="00C40729" w:rsidRPr="00886CBE" w:rsidRDefault="00C40729" w:rsidP="004B5195">
            <w:pPr>
              <w:spacing w:before="40" w:after="4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 xml:space="preserve">- </w:t>
            </w:r>
            <w:r w:rsidRPr="00886CBE">
              <w:rPr>
                <w:rFonts w:ascii="Arial" w:hAnsi="Arial" w:cs="Arial"/>
                <w:b/>
                <w:sz w:val="20"/>
                <w:lang w:val="en-GB"/>
              </w:rPr>
              <w:t>At the occasion of the next maintenance of the messages</w:t>
            </w:r>
          </w:p>
          <w:p w14:paraId="61B86C78" w14:textId="77777777" w:rsidR="00C40729" w:rsidRPr="00886CBE" w:rsidRDefault="00C4072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7B2633B6" w14:textId="77777777" w:rsidR="00C40729" w:rsidRPr="00886CBE" w:rsidRDefault="00C40729" w:rsidP="004B5195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</w:tc>
      </w:tr>
      <w:tr w:rsidR="00C40729" w:rsidRPr="00886CBE" w14:paraId="64CB4AB8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13FDD17" w14:textId="77777777" w:rsidR="00C40729" w:rsidRPr="00886CBE" w:rsidRDefault="00C4072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6A119438" w14:textId="77777777" w:rsidR="00C40729" w:rsidRPr="00886CBE" w:rsidRDefault="00C40729" w:rsidP="004B5195">
            <w:pPr>
              <w:spacing w:before="40" w:after="40"/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 xml:space="preserve">- </w:t>
            </w:r>
            <w:r w:rsidRPr="00886CBE">
              <w:rPr>
                <w:rFonts w:ascii="Arial" w:hAnsi="Arial" w:cs="Arial"/>
                <w:b/>
                <w:sz w:val="20"/>
                <w:lang w:val="en-GB"/>
              </w:rPr>
              <w:t>Urgent unscheduled</w:t>
            </w:r>
          </w:p>
          <w:p w14:paraId="3F701284" w14:textId="77777777" w:rsidR="00C40729" w:rsidRPr="00886CBE" w:rsidRDefault="00C4072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49833A8E" w14:textId="77777777" w:rsidR="00C40729" w:rsidRPr="00886CBE" w:rsidRDefault="00C40729" w:rsidP="004B5195">
            <w:pPr>
              <w:spacing w:before="40" w:after="40"/>
              <w:jc w:val="center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4A6A22F1" w14:textId="77777777" w:rsidR="00C40729" w:rsidRPr="00886CBE" w:rsidRDefault="00C40729" w:rsidP="004B5195">
            <w:pPr>
              <w:spacing w:before="40" w:after="40"/>
              <w:ind w:left="36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C40729" w:rsidRPr="00886CBE" w14:paraId="07C95BC9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5FE6682" w14:textId="77777777" w:rsidR="00C40729" w:rsidRPr="00886CBE" w:rsidRDefault="00C40729" w:rsidP="004B5195">
            <w:pPr>
              <w:spacing w:before="40" w:after="4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6BAF781E" w14:textId="77777777" w:rsidR="00C40729" w:rsidRPr="00BF63B6" w:rsidRDefault="00C40729" w:rsidP="004B5195">
            <w:pPr>
              <w:spacing w:before="40" w:after="40"/>
              <w:rPr>
                <w:rFonts w:ascii="Arial" w:hAnsi="Arial" w:cs="Arial"/>
                <w:color w:val="FF0000"/>
                <w:sz w:val="20"/>
                <w:lang w:val="en-GB"/>
              </w:rPr>
            </w:pPr>
            <w:r w:rsidRPr="00886CBE">
              <w:rPr>
                <w:rFonts w:ascii="Arial" w:hAnsi="Arial" w:cs="Arial"/>
                <w:sz w:val="20"/>
                <w:lang w:val="en-GB"/>
              </w:rPr>
              <w:t xml:space="preserve">- </w:t>
            </w:r>
            <w:r w:rsidRPr="00886CBE">
              <w:rPr>
                <w:rFonts w:ascii="Arial" w:hAnsi="Arial" w:cs="Arial"/>
                <w:b/>
                <w:sz w:val="20"/>
                <w:lang w:val="en-GB"/>
              </w:rPr>
              <w:t>Other timing:</w:t>
            </w:r>
            <w:r w:rsidR="00BF63B6">
              <w:rPr>
                <w:rFonts w:ascii="Arial" w:hAnsi="Arial" w:cs="Arial"/>
                <w:color w:val="FF0000"/>
                <w:sz w:val="20"/>
                <w:lang w:val="en-GB"/>
              </w:rPr>
              <w:t xml:space="preserve"> with all other Funds messages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45A01082" w14:textId="77777777" w:rsidR="00C40729" w:rsidRPr="00886CBE" w:rsidRDefault="00C40729" w:rsidP="004B5195">
            <w:pPr>
              <w:spacing w:before="40" w:after="40"/>
              <w:ind w:left="360"/>
              <w:jc w:val="both"/>
              <w:rPr>
                <w:rFonts w:ascii="Arial" w:hAnsi="Arial" w:cs="Arial"/>
                <w:sz w:val="20"/>
                <w:lang w:val="en-GB"/>
              </w:rPr>
            </w:pPr>
          </w:p>
          <w:p w14:paraId="28A61D93" w14:textId="77777777" w:rsidR="00C40729" w:rsidRPr="00886CBE" w:rsidRDefault="00C40729" w:rsidP="004B5195">
            <w:pPr>
              <w:spacing w:before="40" w:after="40"/>
              <w:ind w:left="360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2D2D728" w14:textId="77777777" w:rsidR="00C41DDB" w:rsidRPr="00886CBE" w:rsidRDefault="00C41DDB" w:rsidP="00567F13">
      <w:pPr>
        <w:rPr>
          <w:rFonts w:ascii="Arial" w:hAnsi="Arial" w:cs="Arial"/>
          <w:sz w:val="20"/>
          <w:lang w:val="en-GB"/>
        </w:rPr>
      </w:pPr>
      <w:r w:rsidRPr="00886CBE">
        <w:rPr>
          <w:rFonts w:ascii="Arial" w:hAnsi="Arial" w:cs="Arial"/>
          <w:sz w:val="20"/>
          <w:lang w:val="en-GB"/>
        </w:rPr>
        <w:t>Comments:</w:t>
      </w:r>
    </w:p>
    <w:p w14:paraId="7D94E8A7" w14:textId="77777777" w:rsidR="00C41DDB" w:rsidRDefault="00BF63B6" w:rsidP="00C41DDB">
      <w:pPr>
        <w:rPr>
          <w:rFonts w:ascii="Arial" w:hAnsi="Arial" w:cs="Arial"/>
          <w:sz w:val="20"/>
          <w:lang w:val="en-GB"/>
        </w:rPr>
      </w:pPr>
      <w:r w:rsidRPr="00BF63B6">
        <w:rPr>
          <w:rFonts w:ascii="Arial" w:hAnsi="Arial" w:cs="Arial"/>
          <w:sz w:val="20"/>
          <w:lang w:val="en-GB"/>
        </w:rPr>
        <w:t>Deferred as we would like to have this change applied to all fund messages at the same time</w:t>
      </w:r>
      <w:r w:rsidR="009A5C46">
        <w:rPr>
          <w:rFonts w:ascii="Arial" w:hAnsi="Arial" w:cs="Arial"/>
          <w:sz w:val="20"/>
          <w:lang w:val="en-GB"/>
        </w:rPr>
        <w:t>.</w:t>
      </w:r>
    </w:p>
    <w:p w14:paraId="6FC09827" w14:textId="132B0192" w:rsidR="00B24646" w:rsidRPr="00886CBE" w:rsidRDefault="00B24646" w:rsidP="00C41DDB">
      <w:pPr>
        <w:rPr>
          <w:rFonts w:ascii="Arial" w:hAnsi="Arial" w:cs="Arial"/>
          <w:sz w:val="20"/>
          <w:lang w:val="en-GB"/>
        </w:rPr>
      </w:pPr>
      <w:r w:rsidRPr="00B24646">
        <w:rPr>
          <w:rFonts w:ascii="Arial" w:hAnsi="Arial" w:cs="Arial"/>
          <w:sz w:val="20"/>
          <w:lang w:val="en-GB"/>
        </w:rPr>
        <w:t xml:space="preserve">July 2025 update: Maintenance 2025/2026 – consider if </w:t>
      </w:r>
      <w:proofErr w:type="spellStart"/>
      <w:r w:rsidRPr="00B24646">
        <w:rPr>
          <w:rFonts w:ascii="Arial" w:hAnsi="Arial" w:cs="Arial"/>
          <w:sz w:val="20"/>
          <w:lang w:val="en-GB"/>
        </w:rPr>
        <w:t>setr</w:t>
      </w:r>
      <w:proofErr w:type="spellEnd"/>
      <w:r w:rsidRPr="00B24646">
        <w:rPr>
          <w:rFonts w:ascii="Arial" w:hAnsi="Arial" w:cs="Arial"/>
          <w:sz w:val="20"/>
          <w:lang w:val="en-GB"/>
        </w:rPr>
        <w:t xml:space="preserve"> messages are maintained.</w:t>
      </w:r>
    </w:p>
    <w:p w14:paraId="54AE47AD" w14:textId="77777777" w:rsidR="00B307A7" w:rsidRPr="00886CBE" w:rsidRDefault="00B307A7" w:rsidP="00C41DDB">
      <w:pPr>
        <w:rPr>
          <w:rFonts w:ascii="Arial" w:hAnsi="Arial" w:cs="Arial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886CBE" w14:paraId="52A85461" w14:textId="77777777" w:rsidTr="00C40729">
        <w:tc>
          <w:tcPr>
            <w:tcW w:w="1242" w:type="dxa"/>
          </w:tcPr>
          <w:p w14:paraId="3D009F2D" w14:textId="77777777" w:rsidR="00C41DDB" w:rsidRPr="00886CBE" w:rsidRDefault="00C41DDB" w:rsidP="004B5195">
            <w:pPr>
              <w:spacing w:before="40" w:after="40"/>
              <w:rPr>
                <w:rFonts w:ascii="Arial" w:hAnsi="Arial" w:cs="Arial"/>
                <w:b/>
                <w:sz w:val="20"/>
                <w:lang w:val="en-GB"/>
              </w:rPr>
            </w:pPr>
            <w:r w:rsidRPr="00886CBE">
              <w:rPr>
                <w:rFonts w:ascii="Arial" w:hAnsi="Arial" w:cs="Arial"/>
                <w:b/>
                <w:sz w:val="20"/>
                <w:lang w:val="en-GB"/>
              </w:rPr>
              <w:t>Reject</w:t>
            </w:r>
          </w:p>
        </w:tc>
        <w:tc>
          <w:tcPr>
            <w:tcW w:w="567" w:type="dxa"/>
          </w:tcPr>
          <w:p w14:paraId="5BE74754" w14:textId="77777777" w:rsidR="00C41DDB" w:rsidRPr="00886CBE" w:rsidRDefault="00C41DDB" w:rsidP="004B5195">
            <w:pPr>
              <w:spacing w:before="40" w:after="40"/>
              <w:rPr>
                <w:rFonts w:ascii="Arial" w:hAnsi="Arial" w:cs="Arial"/>
                <w:color w:val="FF0000"/>
                <w:sz w:val="20"/>
                <w:lang w:val="en-GB"/>
              </w:rPr>
            </w:pPr>
          </w:p>
        </w:tc>
      </w:tr>
    </w:tbl>
    <w:p w14:paraId="1EB9F88A" w14:textId="77777777" w:rsidR="007D6A9F" w:rsidRPr="00886CBE" w:rsidRDefault="00C41DDB" w:rsidP="00567F13">
      <w:pPr>
        <w:rPr>
          <w:rFonts w:ascii="Arial" w:hAnsi="Arial" w:cs="Arial"/>
          <w:sz w:val="20"/>
          <w:lang w:val="en-GB"/>
        </w:rPr>
      </w:pPr>
      <w:r w:rsidRPr="00886CBE">
        <w:rPr>
          <w:rFonts w:ascii="Arial" w:hAnsi="Arial" w:cs="Arial"/>
          <w:sz w:val="20"/>
          <w:lang w:val="en-GB"/>
        </w:rPr>
        <w:t>Reason for rejection:</w:t>
      </w:r>
    </w:p>
    <w:sectPr w:rsidR="007D6A9F" w:rsidRPr="00886CBE" w:rsidSect="000A17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1EE6" w14:textId="77777777" w:rsidR="00466D14" w:rsidRDefault="00466D14">
      <w:r>
        <w:separator/>
      </w:r>
    </w:p>
  </w:endnote>
  <w:endnote w:type="continuationSeparator" w:id="0">
    <w:p w14:paraId="1AD71079" w14:textId="77777777" w:rsidR="00466D14" w:rsidRDefault="0046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F761" w14:textId="77777777" w:rsidR="00BF63B6" w:rsidRDefault="00BF6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DF49" w14:textId="354D99FD" w:rsidR="008814B8" w:rsidRDefault="00124F8E">
    <w:pPr>
      <w:pStyle w:val="Footer"/>
      <w:rPr>
        <w:rStyle w:val="PageNumber"/>
      </w:rPr>
    </w:pPr>
    <w:r>
      <w:t>CR0343_SWIFT_BIC_IF_camt_v</w:t>
    </w:r>
    <w:r w:rsidR="00B24646">
      <w:t>3</w:t>
    </w:r>
    <w:r>
      <w:t xml:space="preserve"> Produced by SWIFT on 13 Feb 14</w:t>
    </w:r>
    <w:r w:rsidR="008814B8" w:rsidDel="00CC062F">
      <w:t xml:space="preserve"> </w:t>
    </w:r>
    <w:r w:rsidR="008814B8">
      <w:tab/>
      <w:t xml:space="preserve">Page </w:t>
    </w:r>
    <w:r w:rsidR="008814B8">
      <w:rPr>
        <w:rStyle w:val="PageNumber"/>
      </w:rPr>
      <w:fldChar w:fldCharType="begin"/>
    </w:r>
    <w:r w:rsidR="008814B8">
      <w:rPr>
        <w:rStyle w:val="PageNumber"/>
      </w:rPr>
      <w:instrText xml:space="preserve"> PAGE </w:instrText>
    </w:r>
    <w:r w:rsidR="008814B8">
      <w:rPr>
        <w:rStyle w:val="PageNumber"/>
      </w:rPr>
      <w:fldChar w:fldCharType="separate"/>
    </w:r>
    <w:r w:rsidR="009A5C46">
      <w:rPr>
        <w:rStyle w:val="PageNumber"/>
        <w:noProof/>
      </w:rPr>
      <w:t>3</w:t>
    </w:r>
    <w:r w:rsidR="008814B8">
      <w:rPr>
        <w:rStyle w:val="PageNumber"/>
      </w:rPr>
      <w:fldChar w:fldCharType="end"/>
    </w:r>
  </w:p>
  <w:p w14:paraId="6C56E0D6" w14:textId="77777777" w:rsidR="008814B8" w:rsidRDefault="008814B8">
    <w:pPr>
      <w:pStyle w:val="Footer"/>
      <w:rPr>
        <w:rStyle w:val="PageNumber"/>
      </w:rPr>
    </w:pPr>
  </w:p>
  <w:p w14:paraId="5BFC7278" w14:textId="77777777" w:rsidR="008814B8" w:rsidRDefault="008814B8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F6FF" w14:textId="77777777" w:rsidR="00BF63B6" w:rsidRDefault="00BF6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0700" w14:textId="77777777" w:rsidR="00466D14" w:rsidRDefault="00466D14">
      <w:r>
        <w:separator/>
      </w:r>
    </w:p>
  </w:footnote>
  <w:footnote w:type="continuationSeparator" w:id="0">
    <w:p w14:paraId="3B01BD30" w14:textId="77777777" w:rsidR="00466D14" w:rsidRDefault="0046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04AA" w14:textId="77777777" w:rsidR="00BF63B6" w:rsidRDefault="00BF6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D8176" w14:textId="77777777" w:rsidR="00124F8E" w:rsidRPr="00124F8E" w:rsidRDefault="00124F8E">
    <w:pPr>
      <w:pStyle w:val="Header"/>
      <w:rPr>
        <w:lang w:val="en-GB"/>
      </w:rPr>
    </w:pPr>
    <w:r>
      <w:rPr>
        <w:lang w:val="en-GB"/>
      </w:rPr>
      <w:t>RA ID: CR0343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52DC" w14:textId="77777777" w:rsidR="00BF63B6" w:rsidRDefault="00BF6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15C7B"/>
    <w:multiLevelType w:val="hybridMultilevel"/>
    <w:tmpl w:val="3DF8B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902453">
    <w:abstractNumId w:val="2"/>
  </w:num>
  <w:num w:numId="2" w16cid:durableId="929199114">
    <w:abstractNumId w:val="0"/>
  </w:num>
  <w:num w:numId="3" w16cid:durableId="1868104168">
    <w:abstractNumId w:val="1"/>
  </w:num>
  <w:num w:numId="4" w16cid:durableId="1588423902">
    <w:abstractNumId w:val="3"/>
  </w:num>
  <w:num w:numId="5" w16cid:durableId="1319923886">
    <w:abstractNumId w:val="16"/>
  </w:num>
  <w:num w:numId="6" w16cid:durableId="337465030">
    <w:abstractNumId w:val="8"/>
  </w:num>
  <w:num w:numId="7" w16cid:durableId="887642007">
    <w:abstractNumId w:val="12"/>
  </w:num>
  <w:num w:numId="8" w16cid:durableId="21715330">
    <w:abstractNumId w:val="10"/>
  </w:num>
  <w:num w:numId="9" w16cid:durableId="349572657">
    <w:abstractNumId w:val="15"/>
  </w:num>
  <w:num w:numId="10" w16cid:durableId="853685904">
    <w:abstractNumId w:val="5"/>
  </w:num>
  <w:num w:numId="11" w16cid:durableId="1799834308">
    <w:abstractNumId w:val="7"/>
  </w:num>
  <w:num w:numId="12" w16cid:durableId="313872880">
    <w:abstractNumId w:val="11"/>
  </w:num>
  <w:num w:numId="13" w16cid:durableId="403794860">
    <w:abstractNumId w:val="4"/>
  </w:num>
  <w:num w:numId="14" w16cid:durableId="1968585811">
    <w:abstractNumId w:val="6"/>
  </w:num>
  <w:num w:numId="15" w16cid:durableId="16085021">
    <w:abstractNumId w:val="14"/>
  </w:num>
  <w:num w:numId="16" w16cid:durableId="1624386282">
    <w:abstractNumId w:val="13"/>
  </w:num>
  <w:num w:numId="17" w16cid:durableId="152911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3395A"/>
    <w:rsid w:val="0003470D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01F6"/>
    <w:rsid w:val="000D5D39"/>
    <w:rsid w:val="000E1C4F"/>
    <w:rsid w:val="000E2471"/>
    <w:rsid w:val="000E7941"/>
    <w:rsid w:val="000F3C8B"/>
    <w:rsid w:val="000F43E3"/>
    <w:rsid w:val="00101212"/>
    <w:rsid w:val="00101D5F"/>
    <w:rsid w:val="00105754"/>
    <w:rsid w:val="00124F8E"/>
    <w:rsid w:val="00130EB9"/>
    <w:rsid w:val="00136D6E"/>
    <w:rsid w:val="0014379C"/>
    <w:rsid w:val="00153ED1"/>
    <w:rsid w:val="00163DB3"/>
    <w:rsid w:val="001711D3"/>
    <w:rsid w:val="00185453"/>
    <w:rsid w:val="00185E8E"/>
    <w:rsid w:val="001B1858"/>
    <w:rsid w:val="001B5496"/>
    <w:rsid w:val="001D0D1B"/>
    <w:rsid w:val="001D176B"/>
    <w:rsid w:val="001D20B3"/>
    <w:rsid w:val="001E287E"/>
    <w:rsid w:val="001E2B1C"/>
    <w:rsid w:val="001E3BCF"/>
    <w:rsid w:val="00215C94"/>
    <w:rsid w:val="00217122"/>
    <w:rsid w:val="00217AE9"/>
    <w:rsid w:val="00224775"/>
    <w:rsid w:val="00225AA9"/>
    <w:rsid w:val="00230574"/>
    <w:rsid w:val="002472D9"/>
    <w:rsid w:val="002509A2"/>
    <w:rsid w:val="0025138E"/>
    <w:rsid w:val="002521C9"/>
    <w:rsid w:val="002711E6"/>
    <w:rsid w:val="00284065"/>
    <w:rsid w:val="002904C8"/>
    <w:rsid w:val="002B0567"/>
    <w:rsid w:val="002C1D7C"/>
    <w:rsid w:val="002D549A"/>
    <w:rsid w:val="002E014D"/>
    <w:rsid w:val="002E27A9"/>
    <w:rsid w:val="003006F2"/>
    <w:rsid w:val="003014E7"/>
    <w:rsid w:val="0030368F"/>
    <w:rsid w:val="00303E94"/>
    <w:rsid w:val="00304151"/>
    <w:rsid w:val="00313D4A"/>
    <w:rsid w:val="00316F04"/>
    <w:rsid w:val="00320A89"/>
    <w:rsid w:val="00324C6F"/>
    <w:rsid w:val="00332E8F"/>
    <w:rsid w:val="00336209"/>
    <w:rsid w:val="00336ED6"/>
    <w:rsid w:val="00360300"/>
    <w:rsid w:val="00380928"/>
    <w:rsid w:val="0038393A"/>
    <w:rsid w:val="00386B78"/>
    <w:rsid w:val="003A1EBF"/>
    <w:rsid w:val="003A3D7D"/>
    <w:rsid w:val="003B261A"/>
    <w:rsid w:val="003C0213"/>
    <w:rsid w:val="003C0267"/>
    <w:rsid w:val="003C3840"/>
    <w:rsid w:val="003C5FA4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56A93"/>
    <w:rsid w:val="00462051"/>
    <w:rsid w:val="00465900"/>
    <w:rsid w:val="00466D14"/>
    <w:rsid w:val="00473145"/>
    <w:rsid w:val="00491565"/>
    <w:rsid w:val="00493FF8"/>
    <w:rsid w:val="004A02CE"/>
    <w:rsid w:val="004A168F"/>
    <w:rsid w:val="004A40DC"/>
    <w:rsid w:val="004B5195"/>
    <w:rsid w:val="004B5A22"/>
    <w:rsid w:val="004E1F21"/>
    <w:rsid w:val="004F0578"/>
    <w:rsid w:val="004F0934"/>
    <w:rsid w:val="004F1090"/>
    <w:rsid w:val="004F61D5"/>
    <w:rsid w:val="0050171A"/>
    <w:rsid w:val="0052302E"/>
    <w:rsid w:val="005246BE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3F8C"/>
    <w:rsid w:val="0062406B"/>
    <w:rsid w:val="00631A43"/>
    <w:rsid w:val="0063312E"/>
    <w:rsid w:val="006643DC"/>
    <w:rsid w:val="006A02BC"/>
    <w:rsid w:val="006A2392"/>
    <w:rsid w:val="006A7B96"/>
    <w:rsid w:val="006B20DC"/>
    <w:rsid w:val="006D4A37"/>
    <w:rsid w:val="00706604"/>
    <w:rsid w:val="007118C4"/>
    <w:rsid w:val="00723DE0"/>
    <w:rsid w:val="00732595"/>
    <w:rsid w:val="00741457"/>
    <w:rsid w:val="0074349F"/>
    <w:rsid w:val="0075466C"/>
    <w:rsid w:val="00774921"/>
    <w:rsid w:val="00783891"/>
    <w:rsid w:val="007A3D22"/>
    <w:rsid w:val="007A4CCC"/>
    <w:rsid w:val="007A6E0D"/>
    <w:rsid w:val="007B3927"/>
    <w:rsid w:val="007B55DE"/>
    <w:rsid w:val="007C6E42"/>
    <w:rsid w:val="007C7AB4"/>
    <w:rsid w:val="007C7CD2"/>
    <w:rsid w:val="007D69B5"/>
    <w:rsid w:val="007D6A9F"/>
    <w:rsid w:val="007E64D9"/>
    <w:rsid w:val="007F6A8C"/>
    <w:rsid w:val="008038C3"/>
    <w:rsid w:val="008050F5"/>
    <w:rsid w:val="0081068B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14B8"/>
    <w:rsid w:val="008869D6"/>
    <w:rsid w:val="00886CBE"/>
    <w:rsid w:val="00891DA0"/>
    <w:rsid w:val="008A7F65"/>
    <w:rsid w:val="008C31C5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95C0C"/>
    <w:rsid w:val="009A5C46"/>
    <w:rsid w:val="009C1445"/>
    <w:rsid w:val="009D595F"/>
    <w:rsid w:val="009E733F"/>
    <w:rsid w:val="00A10221"/>
    <w:rsid w:val="00A21B8D"/>
    <w:rsid w:val="00A25B84"/>
    <w:rsid w:val="00A34E75"/>
    <w:rsid w:val="00A46877"/>
    <w:rsid w:val="00A47C6F"/>
    <w:rsid w:val="00A5492F"/>
    <w:rsid w:val="00A60DC3"/>
    <w:rsid w:val="00A60E56"/>
    <w:rsid w:val="00A80F26"/>
    <w:rsid w:val="00A91F56"/>
    <w:rsid w:val="00AA5E76"/>
    <w:rsid w:val="00AD7CD5"/>
    <w:rsid w:val="00AE0A90"/>
    <w:rsid w:val="00AE43F4"/>
    <w:rsid w:val="00AE4D14"/>
    <w:rsid w:val="00AF09E1"/>
    <w:rsid w:val="00AF2EBF"/>
    <w:rsid w:val="00AF7030"/>
    <w:rsid w:val="00B01132"/>
    <w:rsid w:val="00B06CA8"/>
    <w:rsid w:val="00B21761"/>
    <w:rsid w:val="00B21FA3"/>
    <w:rsid w:val="00B24646"/>
    <w:rsid w:val="00B27B87"/>
    <w:rsid w:val="00B307A7"/>
    <w:rsid w:val="00B30D86"/>
    <w:rsid w:val="00B44DEE"/>
    <w:rsid w:val="00B45490"/>
    <w:rsid w:val="00B5520C"/>
    <w:rsid w:val="00B70B84"/>
    <w:rsid w:val="00B8336E"/>
    <w:rsid w:val="00B865DB"/>
    <w:rsid w:val="00B921E0"/>
    <w:rsid w:val="00BA1600"/>
    <w:rsid w:val="00BA611B"/>
    <w:rsid w:val="00BB74E5"/>
    <w:rsid w:val="00BB7F97"/>
    <w:rsid w:val="00BC4D68"/>
    <w:rsid w:val="00BD6786"/>
    <w:rsid w:val="00BF63B6"/>
    <w:rsid w:val="00BF6F8A"/>
    <w:rsid w:val="00C06496"/>
    <w:rsid w:val="00C10022"/>
    <w:rsid w:val="00C11A31"/>
    <w:rsid w:val="00C122AE"/>
    <w:rsid w:val="00C16FF8"/>
    <w:rsid w:val="00C17665"/>
    <w:rsid w:val="00C208AF"/>
    <w:rsid w:val="00C32DF8"/>
    <w:rsid w:val="00C40729"/>
    <w:rsid w:val="00C41DDB"/>
    <w:rsid w:val="00C43EED"/>
    <w:rsid w:val="00C46C5A"/>
    <w:rsid w:val="00C52ABE"/>
    <w:rsid w:val="00C656B1"/>
    <w:rsid w:val="00C84DB0"/>
    <w:rsid w:val="00CB2D0A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5337"/>
    <w:rsid w:val="00D260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6827"/>
    <w:rsid w:val="00E11D29"/>
    <w:rsid w:val="00E1588B"/>
    <w:rsid w:val="00E16A62"/>
    <w:rsid w:val="00E20741"/>
    <w:rsid w:val="00E3221E"/>
    <w:rsid w:val="00E37E77"/>
    <w:rsid w:val="00E5111B"/>
    <w:rsid w:val="00E62FA3"/>
    <w:rsid w:val="00E67D1B"/>
    <w:rsid w:val="00E7537D"/>
    <w:rsid w:val="00E80898"/>
    <w:rsid w:val="00E845AB"/>
    <w:rsid w:val="00E8579D"/>
    <w:rsid w:val="00E928F1"/>
    <w:rsid w:val="00E9305F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F05EF"/>
    <w:rsid w:val="00EF1E93"/>
    <w:rsid w:val="00EF3F75"/>
    <w:rsid w:val="00EF6661"/>
    <w:rsid w:val="00F25441"/>
    <w:rsid w:val="00F260BE"/>
    <w:rsid w:val="00F33643"/>
    <w:rsid w:val="00F34C66"/>
    <w:rsid w:val="00F3743B"/>
    <w:rsid w:val="00F50130"/>
    <w:rsid w:val="00F521A4"/>
    <w:rsid w:val="00F52C18"/>
    <w:rsid w:val="00F56866"/>
    <w:rsid w:val="00F62A6F"/>
    <w:rsid w:val="00F6410E"/>
    <w:rsid w:val="00F720F7"/>
    <w:rsid w:val="00F74EB6"/>
    <w:rsid w:val="00F8432C"/>
    <w:rsid w:val="00F91D83"/>
    <w:rsid w:val="00F91F93"/>
    <w:rsid w:val="00F93A64"/>
    <w:rsid w:val="00F94A2A"/>
    <w:rsid w:val="00FA112C"/>
    <w:rsid w:val="00FB4176"/>
    <w:rsid w:val="00FB56E2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AD58B12"/>
  <w15:chartTrackingRefBased/>
  <w15:docId w15:val="{46E30468-B67A-4708-820E-F049466A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C16FF8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ice.chapman@swift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/>
  </documentManagement>
</p:properties>
</file>

<file path=customXml/itemProps1.xml><?xml version="1.0" encoding="utf-8"?>
<ds:datastoreItem xmlns:ds="http://schemas.openxmlformats.org/officeDocument/2006/customXml" ds:itemID="{57E28472-9520-4F9B-9248-C6961856E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64608-315B-400A-BC31-7DB2387E9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C3C56-5747-40F5-A0FF-2D274DC0FA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4A3A0-BEF2-4A42-B41D-A91DE04C1D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E99EED-53DE-4702-890B-3468D716E8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417E022-B0A3-4F76-A5D2-83D8257E6A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3818</Characters>
  <Application>Microsoft Office Word</Application>
  <DocSecurity>0</DocSecurity>
  <Lines>131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4390</CharactersWithSpaces>
  <SharedDoc>false</SharedDoc>
  <HLinks>
    <vt:vector size="6" baseType="variant"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mailto:janice.chapman@swift.com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2</cp:revision>
  <cp:lastPrinted>2009-03-10T11:18:00Z</cp:lastPrinted>
  <dcterms:created xsi:type="dcterms:W3CDTF">2025-07-08T12:15:00Z</dcterms:created>
  <dcterms:modified xsi:type="dcterms:W3CDTF">2025-07-08T12:15:00Z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Url">
    <vt:lpwstr>https://swiftcorp.sharepoint.com/sites/ps-ow-standards team/_layouts/15/DocIdRedir.aspx?ID=MSKTH6SNCJSU-1733716329-9421, MSKTH6SNCJSU-1733716329-9421</vt:lpwstr>
  </property>
</Properties>
</file>