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C3CB9" w14:textId="77777777" w:rsidR="00BF29E2" w:rsidRDefault="00BF29E2" w:rsidP="00BF29E2">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4E21B5CB" w:rsidR="000408BA" w:rsidRDefault="008438AF" w:rsidP="008438AF">
      <w:pPr>
        <w:rPr>
          <w:szCs w:val="24"/>
          <w:lang w:val="en-GB"/>
        </w:rPr>
      </w:pPr>
      <w:r w:rsidRPr="008438AF">
        <w:rPr>
          <w:i/>
          <w:szCs w:val="24"/>
          <w:lang w:val="en-GB"/>
        </w:rPr>
        <w:t>A.1 Submitter</w:t>
      </w:r>
      <w:r w:rsidR="00645198">
        <w:rPr>
          <w:szCs w:val="24"/>
          <w:lang w:val="en-GB"/>
        </w:rPr>
        <w:t xml:space="preserve">: </w:t>
      </w:r>
      <w:r w:rsidR="00527AC9">
        <w:rPr>
          <w:szCs w:val="24"/>
          <w:lang w:val="en-GB"/>
        </w:rPr>
        <w:t>ISITC</w:t>
      </w:r>
    </w:p>
    <w:p w14:paraId="2DEFB26D" w14:textId="77777777" w:rsidR="002F6B3B" w:rsidRDefault="000408BA" w:rsidP="008438AF">
      <w:pPr>
        <w:rPr>
          <w:szCs w:val="24"/>
          <w:lang w:val="fr-FR"/>
        </w:rPr>
      </w:pPr>
      <w:r w:rsidRPr="00527AC9">
        <w:rPr>
          <w:i/>
          <w:szCs w:val="24"/>
          <w:lang w:val="fr-FR"/>
        </w:rPr>
        <w:t xml:space="preserve">A.2 </w:t>
      </w:r>
      <w:r w:rsidR="00CC68E1" w:rsidRPr="00527AC9">
        <w:rPr>
          <w:i/>
          <w:szCs w:val="24"/>
          <w:lang w:val="fr-FR"/>
        </w:rPr>
        <w:t>C</w:t>
      </w:r>
      <w:r w:rsidRPr="00527AC9">
        <w:rPr>
          <w:i/>
          <w:szCs w:val="24"/>
          <w:lang w:val="fr-FR"/>
        </w:rPr>
        <w:t>ontact person</w:t>
      </w:r>
      <w:r w:rsidR="002F6B3B">
        <w:rPr>
          <w:i/>
          <w:szCs w:val="24"/>
          <w:lang w:val="fr-FR"/>
        </w:rPr>
        <w:t>s</w:t>
      </w:r>
      <w:r w:rsidRPr="00527AC9">
        <w:rPr>
          <w:i/>
          <w:szCs w:val="24"/>
          <w:lang w:val="fr-FR"/>
        </w:rPr>
        <w:t>:</w:t>
      </w:r>
      <w:r w:rsidR="008438AF" w:rsidRPr="00527AC9">
        <w:rPr>
          <w:szCs w:val="24"/>
          <w:lang w:val="fr-FR"/>
        </w:rPr>
        <w:t xml:space="preserve"> </w:t>
      </w:r>
    </w:p>
    <w:p w14:paraId="60127779" w14:textId="76D8991A" w:rsidR="002F6B3B" w:rsidRDefault="00EB0F3F" w:rsidP="008438AF">
      <w:pPr>
        <w:rPr>
          <w:szCs w:val="24"/>
          <w:lang w:val="fr-FR"/>
        </w:rPr>
      </w:pPr>
      <w:r>
        <w:rPr>
          <w:szCs w:val="24"/>
          <w:lang w:val="fr-FR"/>
        </w:rPr>
        <w:t xml:space="preserve">       </w:t>
      </w:r>
      <w:r w:rsidR="00D8487B" w:rsidRPr="00527AC9">
        <w:rPr>
          <w:szCs w:val="24"/>
          <w:lang w:val="fr-FR"/>
        </w:rPr>
        <w:t>Karine Taquet</w:t>
      </w:r>
      <w:r w:rsidR="00645198" w:rsidRPr="00527AC9">
        <w:rPr>
          <w:szCs w:val="24"/>
          <w:lang w:val="fr-FR"/>
        </w:rPr>
        <w:t xml:space="preserve">; </w:t>
      </w:r>
      <w:hyperlink r:id="rId10" w:history="1">
        <w:r w:rsidR="002442A7" w:rsidRPr="00527AC9">
          <w:rPr>
            <w:rStyle w:val="Hyperlink"/>
            <w:szCs w:val="24"/>
            <w:lang w:val="fr-FR"/>
          </w:rPr>
          <w:t>karine.taquet@swift.com</w:t>
        </w:r>
      </w:hyperlink>
      <w:r w:rsidR="004F61DC" w:rsidRPr="00527AC9">
        <w:rPr>
          <w:szCs w:val="24"/>
          <w:lang w:val="fr-FR"/>
        </w:rPr>
        <w:t>;</w:t>
      </w:r>
      <w:r w:rsidR="002442A7" w:rsidRPr="00527AC9">
        <w:rPr>
          <w:szCs w:val="24"/>
          <w:lang w:val="fr-FR"/>
        </w:rPr>
        <w:t xml:space="preserve"> </w:t>
      </w:r>
      <w:r w:rsidR="004F61DC" w:rsidRPr="00527AC9">
        <w:rPr>
          <w:szCs w:val="24"/>
          <w:lang w:val="fr-FR"/>
        </w:rPr>
        <w:t>+32 2 655 37 84</w:t>
      </w:r>
    </w:p>
    <w:p w14:paraId="521E061F" w14:textId="5D0D32A7" w:rsidR="00EB0F3F" w:rsidRPr="00C931DF" w:rsidRDefault="00EB0F3F" w:rsidP="008438AF">
      <w:pPr>
        <w:rPr>
          <w:rStyle w:val="Hyperlink"/>
          <w:lang w:val="nl-BE"/>
        </w:rPr>
      </w:pPr>
      <w:r w:rsidRPr="00C931DF">
        <w:rPr>
          <w:szCs w:val="24"/>
          <w:lang w:val="nl-BE"/>
        </w:rPr>
        <w:t xml:space="preserve">       </w:t>
      </w:r>
      <w:r w:rsidR="006A2388" w:rsidRPr="00C931DF">
        <w:rPr>
          <w:szCs w:val="24"/>
          <w:lang w:val="nl-BE"/>
        </w:rPr>
        <w:t xml:space="preserve">Shereef Zedan; </w:t>
      </w:r>
      <w:hyperlink r:id="rId11" w:history="1">
        <w:r w:rsidR="00C931DF" w:rsidRPr="009D33DC">
          <w:rPr>
            <w:rStyle w:val="Hyperlink"/>
            <w:lang w:val="nl-BE"/>
          </w:rPr>
          <w:t>sz2@ntrs.com</w:t>
        </w:r>
      </w:hyperlink>
      <w:r w:rsidR="00900CFB">
        <w:rPr>
          <w:rStyle w:val="Hyperlink"/>
          <w:lang w:val="nl-BE"/>
        </w:rPr>
        <w:t xml:space="preserve">; </w:t>
      </w:r>
      <w:r w:rsidR="00CA4AE1" w:rsidRPr="00CA4AE1">
        <w:rPr>
          <w:color w:val="0000FF"/>
          <w:u w:val="single"/>
          <w:lang w:val="nl-BE"/>
        </w:rPr>
        <w:t>+1 312-557-2753</w:t>
      </w:r>
    </w:p>
    <w:p w14:paraId="25E92BB5" w14:textId="0B39AD99" w:rsidR="00577BCC" w:rsidRDefault="008438AF" w:rsidP="008438AF">
      <w:pPr>
        <w:rPr>
          <w:szCs w:val="24"/>
          <w:lang w:val="en-GB"/>
        </w:rPr>
      </w:pPr>
      <w:r w:rsidRPr="00C931DF">
        <w:rPr>
          <w:i/>
          <w:szCs w:val="24"/>
          <w:lang w:val="nl-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527AC9">
        <w:rPr>
          <w:szCs w:val="24"/>
          <w:lang w:val="en-GB"/>
        </w:rPr>
        <w:t>DTCC</w:t>
      </w:r>
    </w:p>
    <w:p w14:paraId="6930224A" w14:textId="77777777" w:rsidR="00335385" w:rsidRDefault="00335385"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50C413BE" w14:textId="602D64C9" w:rsidR="00A13397" w:rsidRDefault="00A13397" w:rsidP="00854FA6">
      <w:pPr>
        <w:rPr>
          <w:lang w:val="en-GB"/>
        </w:rPr>
      </w:pPr>
      <w:r>
        <w:rPr>
          <w:lang w:val="en-GB"/>
        </w:rPr>
        <w:t>sese.024</w:t>
      </w:r>
      <w:r w:rsidR="00BB115E">
        <w:rPr>
          <w:lang w:val="en-GB"/>
        </w:rPr>
        <w:t xml:space="preserve"> </w:t>
      </w:r>
      <w:r w:rsidR="00BB115E" w:rsidRPr="00BB115E">
        <w:t>Securities Settlement Transaction Status Advice</w:t>
      </w:r>
    </w:p>
    <w:p w14:paraId="47A71C72" w14:textId="0131A579" w:rsidR="00A13397" w:rsidRDefault="00A13397" w:rsidP="00854FA6">
      <w:pPr>
        <w:rPr>
          <w:lang w:val="en-GB"/>
        </w:rPr>
      </w:pPr>
      <w:r>
        <w:rPr>
          <w:lang w:val="en-GB"/>
        </w:rPr>
        <w:t>sese.025</w:t>
      </w:r>
      <w:r w:rsidR="002D33A4">
        <w:rPr>
          <w:lang w:val="en-GB"/>
        </w:rPr>
        <w:t xml:space="preserve"> </w:t>
      </w:r>
      <w:r w:rsidR="002D33A4" w:rsidRPr="002D33A4">
        <w:t>Securities Settlement Transaction Confirmation</w:t>
      </w:r>
    </w:p>
    <w:p w14:paraId="3417C90B" w14:textId="7CD545DB" w:rsidR="00A13397" w:rsidRDefault="00A13397" w:rsidP="00854FA6">
      <w:pPr>
        <w:rPr>
          <w:lang w:val="en-GB"/>
        </w:rPr>
      </w:pPr>
      <w:r>
        <w:rPr>
          <w:lang w:val="en-GB"/>
        </w:rPr>
        <w:t>sese.026</w:t>
      </w:r>
      <w:r w:rsidR="00C77180">
        <w:rPr>
          <w:lang w:val="en-GB"/>
        </w:rPr>
        <w:t xml:space="preserve"> </w:t>
      </w:r>
      <w:r w:rsidR="00C77180" w:rsidRPr="00C77180">
        <w:rPr>
          <w:lang w:val="en-GB"/>
        </w:rPr>
        <w:t>Securities Settlement Transaction Reversal Advice</w:t>
      </w:r>
    </w:p>
    <w:p w14:paraId="56400936" w14:textId="7DCDDC42" w:rsidR="000B521D" w:rsidRDefault="000B521D" w:rsidP="00854FA6">
      <w:pPr>
        <w:rPr>
          <w:lang w:val="en-GB"/>
        </w:rPr>
      </w:pPr>
      <w:r>
        <w:rPr>
          <w:lang w:val="en-GB"/>
        </w:rPr>
        <w:t>sese.028</w:t>
      </w:r>
      <w:r w:rsidR="00C77180">
        <w:rPr>
          <w:lang w:val="en-GB"/>
        </w:rPr>
        <w:t xml:space="preserve"> </w:t>
      </w:r>
      <w:r w:rsidR="00DC2F0E" w:rsidRPr="00DC2F0E">
        <w:t>Securities Settlement Transaction Allegement Notification</w:t>
      </w:r>
    </w:p>
    <w:p w14:paraId="2C288A93" w14:textId="01AB5207" w:rsidR="00A13397" w:rsidRDefault="00A13397" w:rsidP="00854FA6">
      <w:pPr>
        <w:rPr>
          <w:lang w:val="en-GB"/>
        </w:rPr>
      </w:pPr>
      <w:r>
        <w:rPr>
          <w:lang w:val="en-GB"/>
        </w:rPr>
        <w:t>semt.017</w:t>
      </w:r>
      <w:r w:rsidR="00BD401D">
        <w:rPr>
          <w:lang w:val="en-GB"/>
        </w:rPr>
        <w:t xml:space="preserve"> </w:t>
      </w:r>
      <w:r w:rsidR="00BD401D" w:rsidRPr="00BD401D">
        <w:t>Securities Transaction Posting Report </w:t>
      </w:r>
    </w:p>
    <w:p w14:paraId="106F4861" w14:textId="0EAC7BC7" w:rsidR="00BB115E" w:rsidRDefault="00A13397" w:rsidP="00854FA6">
      <w:pPr>
        <w:rPr>
          <w:lang w:val="en-GB"/>
        </w:rPr>
      </w:pPr>
      <w:r>
        <w:rPr>
          <w:lang w:val="en-GB"/>
        </w:rPr>
        <w:t>semt.018</w:t>
      </w:r>
      <w:r w:rsidR="00C842B4">
        <w:rPr>
          <w:lang w:val="en-GB"/>
        </w:rPr>
        <w:t xml:space="preserve"> </w:t>
      </w:r>
      <w:r w:rsidR="00C842B4" w:rsidRPr="00C842B4">
        <w:t>Securities Transaction Pending Report</w:t>
      </w:r>
    </w:p>
    <w:p w14:paraId="43D7D023" w14:textId="77777777" w:rsidR="00335385" w:rsidRDefault="00E0445F" w:rsidP="00854FA6">
      <w:r>
        <w:rPr>
          <w:lang w:val="en-GB"/>
        </w:rPr>
        <w:t>semt.019</w:t>
      </w:r>
      <w:r w:rsidR="00335385">
        <w:rPr>
          <w:lang w:val="en-GB"/>
        </w:rPr>
        <w:t xml:space="preserve"> </w:t>
      </w:r>
      <w:r w:rsidR="00335385" w:rsidRPr="00335385">
        <w:t>Securities Settlement Transaction Allegement Report</w:t>
      </w:r>
    </w:p>
    <w:p w14:paraId="3E66D45C" w14:textId="76E17F26" w:rsidR="00854FA6" w:rsidRDefault="00854FA6" w:rsidP="00854FA6">
      <w:pPr>
        <w:rPr>
          <w:szCs w:val="24"/>
          <w:lang w:val="en-GB"/>
        </w:rPr>
      </w:pPr>
      <w:r>
        <w:rPr>
          <w:szCs w:val="24"/>
          <w:lang w:val="en-GB"/>
        </w:rPr>
        <w:t xml:space="preserve">    </w:t>
      </w:r>
    </w:p>
    <w:p w14:paraId="0DDE51BC" w14:textId="77777777" w:rsidR="00D53A6D" w:rsidRDefault="00D53A6D" w:rsidP="00854FA6">
      <w:pPr>
        <w:rPr>
          <w:szCs w:val="24"/>
          <w:lang w:val="en-GB"/>
        </w:rPr>
      </w:pPr>
    </w:p>
    <w:p w14:paraId="01A59502" w14:textId="77777777" w:rsidR="00D53A6D" w:rsidRDefault="00D53A6D" w:rsidP="00854FA6">
      <w:pPr>
        <w:rPr>
          <w:szCs w:val="24"/>
          <w:lang w:val="en-GB"/>
        </w:rPr>
      </w:pPr>
    </w:p>
    <w:p w14:paraId="0F7214DB" w14:textId="77777777" w:rsidR="00D53A6D" w:rsidRDefault="00D53A6D" w:rsidP="00854FA6">
      <w:pPr>
        <w:rPr>
          <w:szCs w:val="24"/>
          <w:lang w:val="en-GB"/>
        </w:rPr>
      </w:pPr>
    </w:p>
    <w:p w14:paraId="0166330D" w14:textId="77777777" w:rsidR="00D53A6D" w:rsidRDefault="00D53A6D" w:rsidP="00854FA6">
      <w:pPr>
        <w:rPr>
          <w:szCs w:val="24"/>
          <w:lang w:val="en-GB"/>
        </w:rPr>
      </w:pPr>
    </w:p>
    <w:p w14:paraId="3371ABE9" w14:textId="77777777" w:rsidR="00D53A6D" w:rsidRDefault="00D53A6D" w:rsidP="00854FA6">
      <w:pPr>
        <w:rPr>
          <w:szCs w:val="24"/>
          <w:lang w:val="en-GB"/>
        </w:rPr>
      </w:pPr>
    </w:p>
    <w:p w14:paraId="77D634CB" w14:textId="77777777" w:rsidR="00D53A6D" w:rsidRDefault="00D53A6D" w:rsidP="00854FA6">
      <w:pPr>
        <w:rPr>
          <w:szCs w:val="24"/>
          <w:lang w:val="en-GB"/>
        </w:rPr>
      </w:pPr>
    </w:p>
    <w:p w14:paraId="70FC2B29" w14:textId="77777777" w:rsidR="00D53A6D" w:rsidRPr="00451986" w:rsidRDefault="00D53A6D" w:rsidP="00854FA6">
      <w:pPr>
        <w:rPr>
          <w:b/>
          <w:lang w:val="en-GB"/>
        </w:rPr>
      </w:pPr>
    </w:p>
    <w:p w14:paraId="09EDAEAF" w14:textId="77777777" w:rsidR="00854FA6" w:rsidRDefault="006D4A37" w:rsidP="00854FA6">
      <w:pPr>
        <w:numPr>
          <w:ilvl w:val="0"/>
          <w:numId w:val="6"/>
        </w:numPr>
        <w:rPr>
          <w:lang w:val="en-GB"/>
        </w:rPr>
      </w:pPr>
      <w:r>
        <w:rPr>
          <w:b/>
          <w:lang w:val="en-GB"/>
        </w:rPr>
        <w:lastRenderedPageBreak/>
        <w:t>Description of the change request:</w:t>
      </w:r>
    </w:p>
    <w:p w14:paraId="7C77B091" w14:textId="3332B232" w:rsidR="002D5C8D" w:rsidRDefault="00CD44FD" w:rsidP="00AA5E76">
      <w:pPr>
        <w:rPr>
          <w:lang w:val="en-GB"/>
        </w:rPr>
      </w:pPr>
      <w:r>
        <w:rPr>
          <w:lang w:val="en-GB"/>
        </w:rPr>
        <w:t xml:space="preserve"> Add </w:t>
      </w:r>
      <w:r w:rsidR="00C124B1">
        <w:rPr>
          <w:lang w:val="en-GB"/>
        </w:rPr>
        <w:t xml:space="preserve">in the Settlement Parameters, </w:t>
      </w:r>
      <w:r>
        <w:rPr>
          <w:lang w:val="en-GB"/>
        </w:rPr>
        <w:t xml:space="preserve">a processing indicator </w:t>
      </w:r>
      <w:r w:rsidR="00C124B1">
        <w:rPr>
          <w:lang w:val="en-GB"/>
        </w:rPr>
        <w:t xml:space="preserve">typed with a </w:t>
      </w:r>
      <w:r w:rsidR="00512FD4">
        <w:rPr>
          <w:lang w:val="en-GB"/>
        </w:rPr>
        <w:t>proprietary data type</w:t>
      </w:r>
      <w:r w:rsidR="002D5C8D">
        <w:rPr>
          <w:lang w:val="en-GB"/>
        </w:rPr>
        <w:t>.</w:t>
      </w:r>
    </w:p>
    <w:p w14:paraId="11E4C803" w14:textId="7BCA3EDE" w:rsidR="0062154C" w:rsidRDefault="00A40916" w:rsidP="00AA5E76">
      <w:pPr>
        <w:rPr>
          <w:lang w:val="en-GB"/>
        </w:rPr>
      </w:pPr>
      <w:r>
        <w:rPr>
          <w:lang w:val="en-GB"/>
        </w:rPr>
        <w:t xml:space="preserve"> For instance</w:t>
      </w:r>
      <w:r w:rsidR="000F0925">
        <w:rPr>
          <w:lang w:val="en-GB"/>
        </w:rPr>
        <w:t>:</w:t>
      </w:r>
    </w:p>
    <w:p w14:paraId="73A9F7CE" w14:textId="77777777" w:rsidR="00D53A6D" w:rsidRDefault="00D53A6D" w:rsidP="00AA5E76">
      <w:pPr>
        <w:rPr>
          <w:lang w:val="en-GB"/>
        </w:rPr>
      </w:pPr>
    </w:p>
    <w:p w14:paraId="3C814C77" w14:textId="71838C0E" w:rsidR="001F2424" w:rsidRPr="00D53A6D" w:rsidRDefault="001D1E77" w:rsidP="00AA5E76">
      <w:pPr>
        <w:rPr>
          <w:rFonts w:asciiTheme="majorHAnsi" w:hAnsiTheme="majorHAnsi" w:cstheme="majorHAnsi"/>
          <w:sz w:val="20"/>
          <w:lang w:val="en-GB"/>
        </w:rPr>
      </w:pPr>
      <w:r w:rsidRPr="00D53A6D">
        <w:rPr>
          <w:rFonts w:asciiTheme="majorHAnsi" w:hAnsiTheme="majorHAnsi" w:cstheme="majorHAnsi"/>
          <w:sz w:val="20"/>
          <w:lang w:val="en-GB"/>
        </w:rPr>
        <w:t>Other processing indicator</w:t>
      </w:r>
      <w:r w:rsidR="000F0925" w:rsidRPr="00D53A6D">
        <w:rPr>
          <w:rFonts w:asciiTheme="majorHAnsi" w:hAnsiTheme="majorHAnsi" w:cstheme="majorHAnsi"/>
          <w:sz w:val="20"/>
          <w:lang w:val="en-GB"/>
        </w:rPr>
        <w:t xml:space="preserve"> </w:t>
      </w:r>
      <w:r w:rsidR="00C124B1" w:rsidRPr="00D53A6D">
        <w:rPr>
          <w:rFonts w:asciiTheme="majorHAnsi" w:hAnsiTheme="majorHAnsi" w:cstheme="majorHAnsi"/>
          <w:sz w:val="20"/>
          <w:lang w:val="en-GB"/>
        </w:rPr>
        <w:t>with below structure</w:t>
      </w:r>
    </w:p>
    <w:p w14:paraId="5E002E71" w14:textId="77777777" w:rsidR="00C124B1" w:rsidRPr="00D53A6D" w:rsidRDefault="00C124B1" w:rsidP="00C124B1">
      <w:pPr>
        <w:rPr>
          <w:rFonts w:asciiTheme="majorHAnsi" w:hAnsiTheme="majorHAnsi" w:cstheme="majorHAnsi"/>
          <w:sz w:val="20"/>
          <w:lang w:val="en-GB"/>
        </w:rPr>
      </w:pPr>
      <w:r w:rsidRPr="00C124B1">
        <w:rPr>
          <w:rFonts w:asciiTheme="majorHAnsi" w:hAnsiTheme="majorHAnsi" w:cstheme="majorHAnsi"/>
          <w:sz w:val="20"/>
          <w:lang w:val="en-GB"/>
        </w:rPr>
        <w:t>&lt;xs:complexType name="GenericIdentification30"&gt;</w:t>
      </w:r>
    </w:p>
    <w:p w14:paraId="2CEA6A17" w14:textId="7A6C1C92" w:rsidR="00C124B1" w:rsidRPr="00C124B1" w:rsidRDefault="00C124B1" w:rsidP="00C124B1">
      <w:pPr>
        <w:rPr>
          <w:rFonts w:asciiTheme="majorHAnsi" w:hAnsiTheme="majorHAnsi" w:cstheme="majorHAnsi"/>
          <w:sz w:val="20"/>
          <w:lang w:val="en-GB"/>
        </w:rPr>
      </w:pPr>
      <w:r w:rsidRPr="00D53A6D">
        <w:rPr>
          <w:rFonts w:asciiTheme="majorHAnsi" w:hAnsiTheme="majorHAnsi" w:cstheme="majorHAnsi"/>
          <w:sz w:val="20"/>
          <w:lang w:val="en-GB"/>
        </w:rPr>
        <w:t xml:space="preserve">   </w:t>
      </w:r>
      <w:r w:rsidRPr="00C124B1">
        <w:rPr>
          <w:rFonts w:asciiTheme="majorHAnsi" w:hAnsiTheme="majorHAnsi" w:cstheme="majorHAnsi"/>
          <w:sz w:val="20"/>
          <w:lang w:val="en-GB"/>
        </w:rPr>
        <w:t>&lt;xs:sequence&gt;</w:t>
      </w:r>
    </w:p>
    <w:p w14:paraId="37F4BF49" w14:textId="16DB77CE" w:rsidR="00C124B1" w:rsidRPr="00C124B1" w:rsidRDefault="00C124B1" w:rsidP="00C124B1">
      <w:pPr>
        <w:rPr>
          <w:rFonts w:asciiTheme="majorHAnsi" w:hAnsiTheme="majorHAnsi" w:cstheme="majorHAnsi"/>
          <w:sz w:val="20"/>
          <w:lang w:val="en-GB"/>
        </w:rPr>
      </w:pPr>
      <w:r w:rsidRPr="00D53A6D">
        <w:rPr>
          <w:rFonts w:asciiTheme="majorHAnsi" w:hAnsiTheme="majorHAnsi" w:cstheme="majorHAnsi"/>
          <w:sz w:val="20"/>
          <w:lang w:val="en-GB"/>
        </w:rPr>
        <w:t xml:space="preserve">         </w:t>
      </w:r>
      <w:r w:rsidRPr="00C124B1">
        <w:rPr>
          <w:rFonts w:asciiTheme="majorHAnsi" w:hAnsiTheme="majorHAnsi" w:cstheme="majorHAnsi"/>
          <w:sz w:val="20"/>
          <w:lang w:val="en-GB"/>
        </w:rPr>
        <w:t>&lt;xs:element name="Id" type="Exact4AlphaNumericText"/&gt;</w:t>
      </w:r>
    </w:p>
    <w:p w14:paraId="435B1F92" w14:textId="3C52441E" w:rsidR="00C124B1" w:rsidRPr="00C124B1" w:rsidRDefault="00C124B1" w:rsidP="00C124B1">
      <w:pPr>
        <w:rPr>
          <w:rFonts w:asciiTheme="majorHAnsi" w:hAnsiTheme="majorHAnsi" w:cstheme="majorHAnsi"/>
          <w:sz w:val="20"/>
          <w:lang w:val="en-GB"/>
        </w:rPr>
      </w:pPr>
      <w:r w:rsidRPr="00D53A6D">
        <w:rPr>
          <w:rFonts w:asciiTheme="majorHAnsi" w:hAnsiTheme="majorHAnsi" w:cstheme="majorHAnsi"/>
          <w:sz w:val="20"/>
          <w:lang w:val="en-GB"/>
        </w:rPr>
        <w:t xml:space="preserve">         </w:t>
      </w:r>
      <w:r w:rsidRPr="00C124B1">
        <w:rPr>
          <w:rFonts w:asciiTheme="majorHAnsi" w:hAnsiTheme="majorHAnsi" w:cstheme="majorHAnsi"/>
          <w:sz w:val="20"/>
          <w:lang w:val="en-GB"/>
        </w:rPr>
        <w:t>&lt;xs:element name="Issr" type="Max35Text"/&gt;</w:t>
      </w:r>
    </w:p>
    <w:p w14:paraId="19D70BE4" w14:textId="4B720216" w:rsidR="00C124B1" w:rsidRPr="00C124B1" w:rsidRDefault="00C124B1" w:rsidP="00C124B1">
      <w:pPr>
        <w:rPr>
          <w:rFonts w:asciiTheme="majorHAnsi" w:hAnsiTheme="majorHAnsi" w:cstheme="majorHAnsi"/>
          <w:sz w:val="20"/>
          <w:lang w:val="en-GB"/>
        </w:rPr>
      </w:pPr>
      <w:r w:rsidRPr="00D53A6D">
        <w:rPr>
          <w:rFonts w:asciiTheme="majorHAnsi" w:hAnsiTheme="majorHAnsi" w:cstheme="majorHAnsi"/>
          <w:sz w:val="20"/>
          <w:lang w:val="en-GB"/>
        </w:rPr>
        <w:t xml:space="preserve">         </w:t>
      </w:r>
      <w:r w:rsidRPr="00C124B1">
        <w:rPr>
          <w:rFonts w:asciiTheme="majorHAnsi" w:hAnsiTheme="majorHAnsi" w:cstheme="majorHAnsi"/>
          <w:sz w:val="20"/>
          <w:lang w:val="en-GB"/>
        </w:rPr>
        <w:t>&lt;xs:element name="SchmeNm" type="Max35Text" minOccurs="0" maxOccurs="1"/&gt;</w:t>
      </w:r>
    </w:p>
    <w:p w14:paraId="606CC14A" w14:textId="64F36D3D" w:rsidR="00C124B1" w:rsidRPr="00D53A6D" w:rsidRDefault="00C124B1" w:rsidP="00C124B1">
      <w:pPr>
        <w:rPr>
          <w:rFonts w:asciiTheme="majorHAnsi" w:hAnsiTheme="majorHAnsi" w:cstheme="majorHAnsi"/>
          <w:sz w:val="20"/>
          <w:lang w:val="en-GB"/>
        </w:rPr>
      </w:pPr>
      <w:r w:rsidRPr="00D53A6D">
        <w:rPr>
          <w:rFonts w:asciiTheme="majorHAnsi" w:hAnsiTheme="majorHAnsi" w:cstheme="majorHAnsi"/>
          <w:sz w:val="20"/>
          <w:lang w:val="en-GB"/>
        </w:rPr>
        <w:t xml:space="preserve">   &lt;/xs:sequence&gt;</w:t>
      </w:r>
    </w:p>
    <w:p w14:paraId="04E6F059" w14:textId="77777777" w:rsidR="002D5C8D" w:rsidRDefault="002D5C8D" w:rsidP="00AA5E76">
      <w:pPr>
        <w:rPr>
          <w:lang w:val="en-GB"/>
        </w:rPr>
      </w:pPr>
    </w:p>
    <w:p w14:paraId="741A6FDA" w14:textId="77777777" w:rsidR="001D4F1A" w:rsidRDefault="00E74C04" w:rsidP="001D4F1A">
      <w:pPr>
        <w:numPr>
          <w:ilvl w:val="0"/>
          <w:numId w:val="6"/>
        </w:numPr>
        <w:rPr>
          <w:b/>
          <w:szCs w:val="24"/>
          <w:lang w:val="en-GB"/>
        </w:rPr>
      </w:pPr>
      <w:r>
        <w:rPr>
          <w:b/>
          <w:szCs w:val="24"/>
          <w:lang w:val="en-GB"/>
        </w:rPr>
        <w:br w:type="page"/>
      </w:r>
      <w:r w:rsidR="001D4F1A">
        <w:rPr>
          <w:b/>
          <w:szCs w:val="24"/>
          <w:lang w:val="en-GB"/>
        </w:rPr>
        <w:lastRenderedPageBreak/>
        <w:t>Purpose of the change:</w:t>
      </w:r>
    </w:p>
    <w:p w14:paraId="354206CA" w14:textId="2CFEF350" w:rsidR="001D4F1A" w:rsidRDefault="001D4F1A" w:rsidP="00235D7A">
      <w:pPr>
        <w:ind w:left="360"/>
        <w:jc w:val="both"/>
        <w:rPr>
          <w:b/>
          <w:szCs w:val="24"/>
          <w:lang w:val="en-GB"/>
        </w:rPr>
      </w:pPr>
      <w:r w:rsidRPr="00405B6B">
        <w:t xml:space="preserve">As part of DTCC’s strategic initiative to modernize its clearing and settlement infrastructure, the organization is transitioning from proprietary and ISO 15022 message formats to ISO 20022 messages for Settlement by Q3 2027. This transformation involves substantial enhancements to client interfaces and the core applications that support post-trade processing. </w:t>
      </w:r>
    </w:p>
    <w:p w14:paraId="410B5251" w14:textId="28B20904" w:rsidR="001D4F1A" w:rsidRDefault="001D4F1A" w:rsidP="00235D7A">
      <w:pPr>
        <w:ind w:left="360"/>
        <w:jc w:val="both"/>
        <w:rPr>
          <w:bCs/>
          <w:szCs w:val="24"/>
        </w:rPr>
      </w:pPr>
      <w:r w:rsidRPr="002F2BA7">
        <w:rPr>
          <w:bCs/>
          <w:szCs w:val="24"/>
        </w:rPr>
        <w:t>While aligning with DTCC’s migration to ISO 20022 messaging standards,</w:t>
      </w:r>
      <w:r w:rsidR="00E872A0">
        <w:rPr>
          <w:bCs/>
          <w:szCs w:val="24"/>
        </w:rPr>
        <w:t xml:space="preserve"> </w:t>
      </w:r>
      <w:r w:rsidRPr="002F2BA7">
        <w:rPr>
          <w:bCs/>
          <w:szCs w:val="24"/>
        </w:rPr>
        <w:t>certain data elements and functional requirements currently supported in DTCC’s proprietary formats and ISO 15022 messages cannot be directly mapped to existing ISO 20022 message structures. To ensure that DTCC’s operational requirements continue to be met without compromise, it is necessary to propose the inclusion of additional data elements or message extensions within the ISO 20022 framework. These enhancements will enable full support for DTCC-specific processes and maintain the integrity and completeness of settlement-related communications throughout the transition.</w:t>
      </w:r>
    </w:p>
    <w:p w14:paraId="04EAF0EC" w14:textId="072220F0" w:rsidR="00CD44FD" w:rsidRPr="00CD44FD" w:rsidRDefault="00CD44FD" w:rsidP="00CD44FD">
      <w:pPr>
        <w:ind w:left="360"/>
        <w:jc w:val="both"/>
        <w:rPr>
          <w:bCs/>
          <w:szCs w:val="24"/>
        </w:rPr>
      </w:pPr>
      <w:r w:rsidRPr="00CD44FD">
        <w:rPr>
          <w:bCs/>
          <w:szCs w:val="24"/>
        </w:rPr>
        <w:t>One such requirement involves the inclusion of a processing indicator within the Securities Settlement Transaction Status Advice and the Securities Settlement Transaction Confirmation Advice messages. This indicator is intended to provide participants with additional, trade-specific information regarding the processing status and handling of the transaction.</w:t>
      </w:r>
      <w:r>
        <w:rPr>
          <w:bCs/>
          <w:szCs w:val="24"/>
        </w:rPr>
        <w:t xml:space="preserve"> See examples below.</w:t>
      </w:r>
    </w:p>
    <w:tbl>
      <w:tblPr>
        <w:tblpPr w:leftFromText="180" w:rightFromText="180" w:vertAnchor="text" w:horzAnchor="margin" w:tblpY="758"/>
        <w:tblW w:w="0" w:type="auto"/>
        <w:tblCellMar>
          <w:left w:w="0" w:type="dxa"/>
          <w:right w:w="0" w:type="dxa"/>
        </w:tblCellMar>
        <w:tblLook w:val="04A0" w:firstRow="1" w:lastRow="0" w:firstColumn="1" w:lastColumn="0" w:noHBand="0" w:noVBand="1"/>
      </w:tblPr>
      <w:tblGrid>
        <w:gridCol w:w="721"/>
        <w:gridCol w:w="3376"/>
        <w:gridCol w:w="4861"/>
      </w:tblGrid>
      <w:tr w:rsidR="00EB4B4C" w:rsidRPr="000D1BCE" w14:paraId="197821E7" w14:textId="77777777" w:rsidTr="00F57E20">
        <w:trPr>
          <w:trHeight w:val="260"/>
        </w:trPr>
        <w:tc>
          <w:tcPr>
            <w:tcW w:w="0" w:type="auto"/>
            <w:tcBorders>
              <w:top w:val="single" w:sz="8" w:space="0" w:color="auto"/>
              <w:left w:val="single" w:sz="8" w:space="0" w:color="auto"/>
              <w:bottom w:val="single" w:sz="8" w:space="0" w:color="auto"/>
              <w:right w:val="single" w:sz="8" w:space="0" w:color="auto"/>
            </w:tcBorders>
            <w:shd w:val="clear" w:color="auto" w:fill="156082"/>
            <w:tcMar>
              <w:top w:w="0" w:type="dxa"/>
              <w:left w:w="108" w:type="dxa"/>
              <w:bottom w:w="0" w:type="dxa"/>
              <w:right w:w="108" w:type="dxa"/>
            </w:tcMar>
            <w:hideMark/>
          </w:tcPr>
          <w:p w14:paraId="2DC3A81C" w14:textId="77777777" w:rsidR="00EB4B4C" w:rsidRPr="000D1BCE" w:rsidRDefault="00EB4B4C" w:rsidP="00F57E20">
            <w:pPr>
              <w:spacing w:after="160" w:line="259" w:lineRule="auto"/>
              <w:rPr>
                <w:b/>
                <w:bCs/>
                <w:sz w:val="16"/>
                <w:szCs w:val="16"/>
                <w:lang w:val="en-GB"/>
              </w:rPr>
            </w:pPr>
            <w:r w:rsidRPr="000D1BCE">
              <w:rPr>
                <w:b/>
                <w:bCs/>
                <w:sz w:val="16"/>
                <w:szCs w:val="16"/>
                <w:lang w:val="en-GB"/>
              </w:rPr>
              <w:t>Tran Type Code</w:t>
            </w:r>
          </w:p>
        </w:tc>
        <w:tc>
          <w:tcPr>
            <w:tcW w:w="0" w:type="auto"/>
            <w:tcBorders>
              <w:top w:val="single" w:sz="8" w:space="0" w:color="auto"/>
              <w:left w:val="nil"/>
              <w:bottom w:val="single" w:sz="8" w:space="0" w:color="auto"/>
              <w:right w:val="single" w:sz="8" w:space="0" w:color="auto"/>
            </w:tcBorders>
            <w:shd w:val="clear" w:color="auto" w:fill="156082"/>
            <w:tcMar>
              <w:top w:w="0" w:type="dxa"/>
              <w:left w:w="108" w:type="dxa"/>
              <w:bottom w:w="0" w:type="dxa"/>
              <w:right w:w="108" w:type="dxa"/>
            </w:tcMar>
            <w:hideMark/>
          </w:tcPr>
          <w:p w14:paraId="4614F358" w14:textId="77777777" w:rsidR="00EB4B4C" w:rsidRPr="000D1BCE" w:rsidRDefault="00EB4B4C" w:rsidP="00F57E20">
            <w:pPr>
              <w:spacing w:after="160" w:line="259" w:lineRule="auto"/>
              <w:rPr>
                <w:b/>
                <w:bCs/>
                <w:sz w:val="16"/>
                <w:szCs w:val="16"/>
                <w:lang w:val="en-GB"/>
              </w:rPr>
            </w:pPr>
            <w:r w:rsidRPr="000D1BCE">
              <w:rPr>
                <w:b/>
                <w:bCs/>
                <w:sz w:val="16"/>
                <w:szCs w:val="16"/>
                <w:lang w:val="en-GB"/>
              </w:rPr>
              <w:t>Tran Type Code Desc</w:t>
            </w:r>
          </w:p>
        </w:tc>
        <w:tc>
          <w:tcPr>
            <w:tcW w:w="0" w:type="auto"/>
            <w:tcBorders>
              <w:top w:val="single" w:sz="8" w:space="0" w:color="auto"/>
              <w:left w:val="nil"/>
              <w:bottom w:val="single" w:sz="8" w:space="0" w:color="auto"/>
              <w:right w:val="single" w:sz="8" w:space="0" w:color="auto"/>
            </w:tcBorders>
            <w:shd w:val="clear" w:color="auto" w:fill="156082"/>
            <w:noWrap/>
            <w:tcMar>
              <w:top w:w="0" w:type="dxa"/>
              <w:left w:w="108" w:type="dxa"/>
              <w:bottom w:w="0" w:type="dxa"/>
              <w:right w:w="108" w:type="dxa"/>
            </w:tcMar>
            <w:hideMark/>
          </w:tcPr>
          <w:p w14:paraId="2CC84126" w14:textId="77777777" w:rsidR="00EB4B4C" w:rsidRPr="000D1BCE" w:rsidRDefault="00EB4B4C" w:rsidP="00F57E20">
            <w:pPr>
              <w:spacing w:after="160" w:line="259" w:lineRule="auto"/>
              <w:rPr>
                <w:b/>
                <w:bCs/>
                <w:sz w:val="16"/>
                <w:szCs w:val="16"/>
                <w:lang w:val="en-GB"/>
              </w:rPr>
            </w:pPr>
            <w:r w:rsidRPr="000D1BCE">
              <w:rPr>
                <w:b/>
                <w:bCs/>
                <w:sz w:val="16"/>
                <w:szCs w:val="16"/>
                <w:lang w:val="en-GB"/>
              </w:rPr>
              <w:t>Comments</w:t>
            </w:r>
          </w:p>
        </w:tc>
      </w:tr>
      <w:tr w:rsidR="00EB4B4C" w:rsidRPr="000D1BCE" w14:paraId="4E5C2932" w14:textId="77777777" w:rsidTr="00F57E20">
        <w:trPr>
          <w:trHeight w:val="1240"/>
        </w:trPr>
        <w:tc>
          <w:tcPr>
            <w:tcW w:w="0" w:type="auto"/>
            <w:tcBorders>
              <w:top w:val="nil"/>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hideMark/>
          </w:tcPr>
          <w:p w14:paraId="30B95F41" w14:textId="77777777" w:rsidR="00EB4B4C" w:rsidRPr="000D1BCE" w:rsidRDefault="00EB4B4C" w:rsidP="00F57E20">
            <w:pPr>
              <w:spacing w:after="160" w:line="259" w:lineRule="auto"/>
              <w:rPr>
                <w:sz w:val="16"/>
                <w:szCs w:val="16"/>
                <w:lang w:val="en-GB"/>
              </w:rPr>
            </w:pPr>
            <w:r w:rsidRPr="000D1BCE">
              <w:rPr>
                <w:sz w:val="16"/>
                <w:szCs w:val="16"/>
                <w:lang w:val="en-GB"/>
              </w:rPr>
              <w:t>ACAT</w:t>
            </w:r>
          </w:p>
        </w:tc>
        <w:tc>
          <w:tcPr>
            <w:tcW w:w="0" w:type="auto"/>
            <w:tcBorders>
              <w:top w:val="nil"/>
              <w:left w:val="nil"/>
              <w:bottom w:val="single" w:sz="8" w:space="0" w:color="auto"/>
              <w:right w:val="single" w:sz="8" w:space="0" w:color="auto"/>
            </w:tcBorders>
            <w:shd w:val="clear" w:color="auto" w:fill="C0E6F5"/>
            <w:noWrap/>
            <w:tcMar>
              <w:top w:w="0" w:type="dxa"/>
              <w:left w:w="108" w:type="dxa"/>
              <w:bottom w:w="0" w:type="dxa"/>
              <w:right w:w="108" w:type="dxa"/>
            </w:tcMar>
            <w:hideMark/>
          </w:tcPr>
          <w:p w14:paraId="52880D44" w14:textId="77777777" w:rsidR="00EB4B4C" w:rsidRPr="000D1BCE" w:rsidRDefault="00EB4B4C" w:rsidP="00F57E20">
            <w:pPr>
              <w:spacing w:after="160" w:line="259" w:lineRule="auto"/>
              <w:rPr>
                <w:sz w:val="16"/>
                <w:szCs w:val="16"/>
                <w:lang w:val="en-GB"/>
              </w:rPr>
            </w:pPr>
            <w:r w:rsidRPr="000D1BCE">
              <w:rPr>
                <w:sz w:val="16"/>
                <w:szCs w:val="16"/>
                <w:lang w:val="en-GB"/>
              </w:rPr>
              <w:t>ACATS</w:t>
            </w:r>
          </w:p>
        </w:tc>
        <w:tc>
          <w:tcPr>
            <w:tcW w:w="0" w:type="auto"/>
            <w:tcBorders>
              <w:top w:val="nil"/>
              <w:left w:val="nil"/>
              <w:bottom w:val="single" w:sz="8" w:space="0" w:color="auto"/>
              <w:right w:val="single" w:sz="8" w:space="0" w:color="auto"/>
            </w:tcBorders>
            <w:shd w:val="clear" w:color="auto" w:fill="C0E6F5"/>
            <w:tcMar>
              <w:top w:w="0" w:type="dxa"/>
              <w:left w:w="108" w:type="dxa"/>
              <w:bottom w:w="0" w:type="dxa"/>
              <w:right w:w="108" w:type="dxa"/>
            </w:tcMar>
            <w:hideMark/>
          </w:tcPr>
          <w:p w14:paraId="4871BC93" w14:textId="77777777" w:rsidR="00EB4B4C" w:rsidRPr="000D1BCE" w:rsidRDefault="00EB4B4C" w:rsidP="00F57E20">
            <w:pPr>
              <w:spacing w:after="160" w:line="259" w:lineRule="auto"/>
              <w:rPr>
                <w:sz w:val="16"/>
                <w:szCs w:val="16"/>
                <w:lang w:val="en-GB"/>
              </w:rPr>
            </w:pPr>
            <w:r w:rsidRPr="000D1BCE">
              <w:rPr>
                <w:sz w:val="16"/>
                <w:szCs w:val="16"/>
                <w:lang w:val="en-GB"/>
              </w:rPr>
              <w:t>Automated Customer Account Transfer System (ACATS) transactions received from NSCC</w:t>
            </w:r>
          </w:p>
        </w:tc>
      </w:tr>
      <w:tr w:rsidR="00EB4B4C" w:rsidRPr="000D1BCE" w14:paraId="609BC263" w14:textId="77777777" w:rsidTr="00F57E20">
        <w:trPr>
          <w:trHeight w:val="112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0A53C2E" w14:textId="77777777" w:rsidR="00EB4B4C" w:rsidRPr="000D1BCE" w:rsidRDefault="00EB4B4C" w:rsidP="00F57E20">
            <w:pPr>
              <w:spacing w:after="160" w:line="259" w:lineRule="auto"/>
              <w:rPr>
                <w:sz w:val="16"/>
                <w:szCs w:val="16"/>
                <w:lang w:val="en-GB"/>
              </w:rPr>
            </w:pPr>
            <w:r w:rsidRPr="000D1BCE">
              <w:rPr>
                <w:sz w:val="16"/>
                <w:szCs w:val="16"/>
                <w:lang w:val="en-GB"/>
              </w:rPr>
              <w:t>BALO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E028276" w14:textId="77777777" w:rsidR="00EB4B4C" w:rsidRPr="000D1BCE" w:rsidRDefault="00EB4B4C" w:rsidP="00F57E20">
            <w:pPr>
              <w:spacing w:after="160" w:line="259" w:lineRule="auto"/>
              <w:rPr>
                <w:sz w:val="16"/>
                <w:szCs w:val="16"/>
                <w:lang w:val="en-GB"/>
              </w:rPr>
            </w:pPr>
            <w:r w:rsidRPr="000D1BCE">
              <w:rPr>
                <w:sz w:val="16"/>
                <w:szCs w:val="16"/>
                <w:lang w:val="en-GB"/>
              </w:rPr>
              <w:t>BALANCE ORDERS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153A2DC" w14:textId="77777777" w:rsidR="00EB4B4C" w:rsidRPr="000D1BCE" w:rsidRDefault="00EB4B4C" w:rsidP="00F57E20">
            <w:pPr>
              <w:spacing w:after="160" w:line="259" w:lineRule="auto"/>
              <w:rPr>
                <w:sz w:val="16"/>
                <w:szCs w:val="16"/>
                <w:lang w:val="en-GB"/>
              </w:rPr>
            </w:pPr>
            <w:r w:rsidRPr="000D1BCE">
              <w:rPr>
                <w:sz w:val="16"/>
                <w:szCs w:val="16"/>
                <w:lang w:val="en-GB"/>
              </w:rPr>
              <w:t>Deliver Order transactions received from NSCC</w:t>
            </w:r>
          </w:p>
        </w:tc>
      </w:tr>
      <w:tr w:rsidR="00EB4B4C" w:rsidRPr="000D1BCE" w14:paraId="15250F56" w14:textId="77777777" w:rsidTr="00F57E20">
        <w:trPr>
          <w:trHeight w:val="1310"/>
        </w:trPr>
        <w:tc>
          <w:tcPr>
            <w:tcW w:w="0" w:type="auto"/>
            <w:tcBorders>
              <w:top w:val="nil"/>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hideMark/>
          </w:tcPr>
          <w:p w14:paraId="527D4274" w14:textId="77777777" w:rsidR="00EB4B4C" w:rsidRPr="000D1BCE" w:rsidRDefault="00EB4B4C" w:rsidP="00F57E20">
            <w:pPr>
              <w:spacing w:after="160" w:line="259" w:lineRule="auto"/>
              <w:rPr>
                <w:sz w:val="16"/>
                <w:szCs w:val="16"/>
                <w:lang w:val="en-GB"/>
              </w:rPr>
            </w:pPr>
            <w:r w:rsidRPr="000D1BCE">
              <w:rPr>
                <w:sz w:val="16"/>
                <w:szCs w:val="16"/>
                <w:lang w:val="en-GB"/>
              </w:rPr>
              <w:t>CCAT</w:t>
            </w:r>
          </w:p>
        </w:tc>
        <w:tc>
          <w:tcPr>
            <w:tcW w:w="0" w:type="auto"/>
            <w:tcBorders>
              <w:top w:val="nil"/>
              <w:left w:val="nil"/>
              <w:bottom w:val="single" w:sz="8" w:space="0" w:color="auto"/>
              <w:right w:val="single" w:sz="8" w:space="0" w:color="auto"/>
            </w:tcBorders>
            <w:shd w:val="clear" w:color="auto" w:fill="C0E6F5"/>
            <w:noWrap/>
            <w:tcMar>
              <w:top w:w="0" w:type="dxa"/>
              <w:left w:w="108" w:type="dxa"/>
              <w:bottom w:w="0" w:type="dxa"/>
              <w:right w:w="108" w:type="dxa"/>
            </w:tcMar>
            <w:hideMark/>
          </w:tcPr>
          <w:p w14:paraId="2A6B4AF6" w14:textId="77777777" w:rsidR="00EB4B4C" w:rsidRPr="000D1BCE" w:rsidRDefault="00EB4B4C" w:rsidP="00F57E20">
            <w:pPr>
              <w:spacing w:after="160" w:line="259" w:lineRule="auto"/>
              <w:rPr>
                <w:sz w:val="16"/>
                <w:szCs w:val="16"/>
                <w:lang w:val="en-GB"/>
              </w:rPr>
            </w:pPr>
            <w:r w:rsidRPr="000D1BCE">
              <w:rPr>
                <w:sz w:val="16"/>
                <w:szCs w:val="16"/>
                <w:lang w:val="en-GB"/>
              </w:rPr>
              <w:t>CNS ACATS</w:t>
            </w:r>
          </w:p>
        </w:tc>
        <w:tc>
          <w:tcPr>
            <w:tcW w:w="0" w:type="auto"/>
            <w:tcBorders>
              <w:top w:val="nil"/>
              <w:left w:val="nil"/>
              <w:bottom w:val="single" w:sz="8" w:space="0" w:color="auto"/>
              <w:right w:val="single" w:sz="8" w:space="0" w:color="auto"/>
            </w:tcBorders>
            <w:shd w:val="clear" w:color="auto" w:fill="C0E6F5"/>
            <w:tcMar>
              <w:top w:w="0" w:type="dxa"/>
              <w:left w:w="108" w:type="dxa"/>
              <w:bottom w:w="0" w:type="dxa"/>
              <w:right w:w="108" w:type="dxa"/>
            </w:tcMar>
            <w:hideMark/>
          </w:tcPr>
          <w:p w14:paraId="71278BA4" w14:textId="77777777" w:rsidR="00EB4B4C" w:rsidRPr="000D1BCE" w:rsidRDefault="00EB4B4C" w:rsidP="00F57E20">
            <w:pPr>
              <w:spacing w:after="160" w:line="259" w:lineRule="auto"/>
              <w:rPr>
                <w:sz w:val="16"/>
                <w:szCs w:val="16"/>
                <w:lang w:val="en-GB"/>
              </w:rPr>
            </w:pPr>
            <w:r w:rsidRPr="000D1BCE">
              <w:rPr>
                <w:sz w:val="16"/>
                <w:szCs w:val="16"/>
                <w:lang w:val="en-GB"/>
              </w:rPr>
              <w:t>The CCAT identifier is used to identify NSCC Automated Customer Account Transfer System (ACATS) transactions that are sent to Settlement from the CNS application</w:t>
            </w:r>
          </w:p>
        </w:tc>
      </w:tr>
      <w:tr w:rsidR="00EB4B4C" w:rsidRPr="000D1BCE" w14:paraId="1D8CB936" w14:textId="77777777" w:rsidTr="00F57E20">
        <w:trPr>
          <w:trHeight w:val="125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9CA1A5A" w14:textId="77777777" w:rsidR="00EB4B4C" w:rsidRPr="000D1BCE" w:rsidRDefault="00EB4B4C" w:rsidP="00F57E20">
            <w:pPr>
              <w:spacing w:after="160" w:line="259" w:lineRule="auto"/>
              <w:rPr>
                <w:sz w:val="16"/>
                <w:szCs w:val="16"/>
                <w:lang w:val="en-GB"/>
              </w:rPr>
            </w:pPr>
            <w:r w:rsidRPr="000D1BCE">
              <w:rPr>
                <w:sz w:val="16"/>
                <w:szCs w:val="16"/>
                <w:lang w:val="en-GB"/>
              </w:rPr>
              <w:t>CNSS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961CCCE" w14:textId="77777777" w:rsidR="00EB4B4C" w:rsidRPr="000D1BCE" w:rsidRDefault="00EB4B4C" w:rsidP="00F57E20">
            <w:pPr>
              <w:spacing w:after="160" w:line="259" w:lineRule="auto"/>
              <w:rPr>
                <w:sz w:val="16"/>
                <w:szCs w:val="16"/>
                <w:lang w:val="en-GB"/>
              </w:rPr>
            </w:pPr>
            <w:r w:rsidRPr="000D1BCE">
              <w:rPr>
                <w:sz w:val="16"/>
                <w:szCs w:val="16"/>
                <w:lang w:val="en-GB"/>
              </w:rPr>
              <w:t>CONTINUOUS NET SETTLEMENT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7FADA11" w14:textId="77777777" w:rsidR="00EB4B4C" w:rsidRPr="000D1BCE" w:rsidRDefault="00EB4B4C" w:rsidP="00F57E20">
            <w:pPr>
              <w:spacing w:after="160" w:line="259" w:lineRule="auto"/>
              <w:rPr>
                <w:sz w:val="16"/>
                <w:szCs w:val="16"/>
                <w:lang w:val="en-GB"/>
              </w:rPr>
            </w:pPr>
            <w:r w:rsidRPr="000D1BCE">
              <w:rPr>
                <w:sz w:val="16"/>
                <w:szCs w:val="16"/>
                <w:lang w:val="en-GB"/>
              </w:rPr>
              <w:t>The CNSS identifier is used to identify transactions received from the NSCC Continuous Net Settlement (CNS) application.</w:t>
            </w:r>
          </w:p>
        </w:tc>
      </w:tr>
      <w:tr w:rsidR="00EB4B4C" w:rsidRPr="000D1BCE" w14:paraId="2C1AB66E" w14:textId="77777777" w:rsidTr="00F57E20">
        <w:trPr>
          <w:trHeight w:val="1240"/>
        </w:trPr>
        <w:tc>
          <w:tcPr>
            <w:tcW w:w="0" w:type="auto"/>
            <w:tcBorders>
              <w:top w:val="nil"/>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hideMark/>
          </w:tcPr>
          <w:p w14:paraId="3AAA09D6" w14:textId="77777777" w:rsidR="00EB4B4C" w:rsidRPr="000D1BCE" w:rsidRDefault="00EB4B4C" w:rsidP="00F57E20">
            <w:pPr>
              <w:spacing w:after="160" w:line="259" w:lineRule="auto"/>
              <w:rPr>
                <w:sz w:val="16"/>
                <w:szCs w:val="16"/>
                <w:lang w:val="en-GB"/>
              </w:rPr>
            </w:pPr>
            <w:r w:rsidRPr="000D1BCE">
              <w:rPr>
                <w:sz w:val="16"/>
                <w:szCs w:val="16"/>
                <w:lang w:val="en-GB"/>
              </w:rPr>
              <w:lastRenderedPageBreak/>
              <w:t>LMIT</w:t>
            </w:r>
          </w:p>
        </w:tc>
        <w:tc>
          <w:tcPr>
            <w:tcW w:w="0" w:type="auto"/>
            <w:tcBorders>
              <w:top w:val="nil"/>
              <w:left w:val="nil"/>
              <w:bottom w:val="single" w:sz="8" w:space="0" w:color="auto"/>
              <w:right w:val="single" w:sz="8" w:space="0" w:color="auto"/>
            </w:tcBorders>
            <w:shd w:val="clear" w:color="auto" w:fill="C0E6F5"/>
            <w:noWrap/>
            <w:tcMar>
              <w:top w:w="0" w:type="dxa"/>
              <w:left w:w="108" w:type="dxa"/>
              <w:bottom w:w="0" w:type="dxa"/>
              <w:right w:w="108" w:type="dxa"/>
            </w:tcMar>
            <w:hideMark/>
          </w:tcPr>
          <w:p w14:paraId="28481994" w14:textId="77777777" w:rsidR="00EB4B4C" w:rsidRPr="000D1BCE" w:rsidRDefault="00EB4B4C" w:rsidP="00F57E20">
            <w:pPr>
              <w:spacing w:after="160" w:line="259" w:lineRule="auto"/>
              <w:rPr>
                <w:sz w:val="16"/>
                <w:szCs w:val="16"/>
                <w:lang w:val="en-GB"/>
              </w:rPr>
            </w:pPr>
            <w:r w:rsidRPr="000D1BCE">
              <w:rPr>
                <w:sz w:val="16"/>
                <w:szCs w:val="16"/>
                <w:lang w:val="en-GB"/>
              </w:rPr>
              <w:t>LATE MATCHED INSTITUTIONAL TRADES</w:t>
            </w:r>
          </w:p>
        </w:tc>
        <w:tc>
          <w:tcPr>
            <w:tcW w:w="0" w:type="auto"/>
            <w:tcBorders>
              <w:top w:val="nil"/>
              <w:left w:val="nil"/>
              <w:bottom w:val="single" w:sz="8" w:space="0" w:color="auto"/>
              <w:right w:val="single" w:sz="8" w:space="0" w:color="auto"/>
            </w:tcBorders>
            <w:shd w:val="clear" w:color="auto" w:fill="C0E6F5"/>
            <w:tcMar>
              <w:top w:w="0" w:type="dxa"/>
              <w:left w:w="108" w:type="dxa"/>
              <w:bottom w:w="0" w:type="dxa"/>
              <w:right w:w="108" w:type="dxa"/>
            </w:tcMar>
            <w:hideMark/>
          </w:tcPr>
          <w:p w14:paraId="710A1D80" w14:textId="77777777" w:rsidR="00EB4B4C" w:rsidRPr="000D1BCE" w:rsidRDefault="00EB4B4C" w:rsidP="00F57E20">
            <w:pPr>
              <w:spacing w:after="160" w:line="259" w:lineRule="auto"/>
              <w:rPr>
                <w:sz w:val="16"/>
                <w:szCs w:val="16"/>
                <w:lang w:val="en-GB"/>
              </w:rPr>
            </w:pPr>
            <w:r w:rsidRPr="000D1BCE">
              <w:rPr>
                <w:sz w:val="16"/>
                <w:szCs w:val="16"/>
                <w:lang w:val="en-GB"/>
              </w:rPr>
              <w:t xml:space="preserve">Institutional Delivery (ID) transactions that are affirmed on the ID platform </w:t>
            </w:r>
            <w:r w:rsidRPr="000D1BCE">
              <w:rPr>
                <w:b/>
                <w:bCs/>
                <w:sz w:val="16"/>
                <w:szCs w:val="16"/>
                <w:lang w:val="en-GB"/>
              </w:rPr>
              <w:t>after</w:t>
            </w:r>
            <w:r w:rsidRPr="000D1BCE">
              <w:rPr>
                <w:sz w:val="16"/>
                <w:szCs w:val="16"/>
                <w:lang w:val="en-GB"/>
              </w:rPr>
              <w:t xml:space="preserve"> Noon on Settlement Day - 1 Business Day (S - 1).</w:t>
            </w:r>
          </w:p>
        </w:tc>
      </w:tr>
      <w:tr w:rsidR="00EB4B4C" w:rsidRPr="000D1BCE" w14:paraId="287807DC" w14:textId="77777777" w:rsidTr="00F57E20">
        <w:trPr>
          <w:trHeight w:val="11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7D5686A" w14:textId="77777777" w:rsidR="00EB4B4C" w:rsidRPr="000D1BCE" w:rsidRDefault="00EB4B4C" w:rsidP="00F57E20">
            <w:pPr>
              <w:spacing w:after="160" w:line="259" w:lineRule="auto"/>
              <w:rPr>
                <w:sz w:val="16"/>
                <w:szCs w:val="16"/>
                <w:lang w:val="en-GB"/>
              </w:rPr>
            </w:pPr>
            <w:r w:rsidRPr="000D1BCE">
              <w:rPr>
                <w:sz w:val="16"/>
                <w:szCs w:val="16"/>
                <w:lang w:val="en-GB"/>
              </w:rPr>
              <w:t>MITS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11364CD" w14:textId="77777777" w:rsidR="00EB4B4C" w:rsidRPr="000D1BCE" w:rsidRDefault="00EB4B4C" w:rsidP="00F57E20">
            <w:pPr>
              <w:spacing w:after="160" w:line="259" w:lineRule="auto"/>
              <w:rPr>
                <w:sz w:val="16"/>
                <w:szCs w:val="16"/>
                <w:lang w:val="en-GB"/>
              </w:rPr>
            </w:pPr>
            <w:r w:rsidRPr="000D1BCE">
              <w:rPr>
                <w:sz w:val="16"/>
                <w:szCs w:val="16"/>
                <w:lang w:val="en-GB"/>
              </w:rPr>
              <w:t>MATCHED INSTITUTIONAL TRADES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0EF274" w14:textId="77777777" w:rsidR="00EB4B4C" w:rsidRPr="000D1BCE" w:rsidRDefault="00EB4B4C" w:rsidP="00F57E20">
            <w:pPr>
              <w:spacing w:after="160" w:line="259" w:lineRule="auto"/>
              <w:rPr>
                <w:sz w:val="16"/>
                <w:szCs w:val="16"/>
                <w:lang w:val="en-GB"/>
              </w:rPr>
            </w:pPr>
            <w:r w:rsidRPr="000D1BCE">
              <w:rPr>
                <w:sz w:val="16"/>
                <w:szCs w:val="16"/>
                <w:lang w:val="en-GB"/>
              </w:rPr>
              <w:t xml:space="preserve">Institutional Delivery (ID) transactions that are affirmed on the ID platform </w:t>
            </w:r>
            <w:r w:rsidRPr="000D1BCE">
              <w:rPr>
                <w:b/>
                <w:bCs/>
                <w:sz w:val="16"/>
                <w:szCs w:val="16"/>
                <w:lang w:val="en-GB"/>
              </w:rPr>
              <w:t>before</w:t>
            </w:r>
            <w:r w:rsidRPr="000D1BCE">
              <w:rPr>
                <w:sz w:val="16"/>
                <w:szCs w:val="16"/>
                <w:lang w:val="en-GB"/>
              </w:rPr>
              <w:t xml:space="preserve"> Noon on Settlement Day - 1 Business Day (S - 1).</w:t>
            </w:r>
          </w:p>
        </w:tc>
      </w:tr>
      <w:tr w:rsidR="00EB4B4C" w:rsidRPr="000D1BCE" w14:paraId="5E011B47" w14:textId="77777777" w:rsidTr="00F57E20">
        <w:trPr>
          <w:trHeight w:val="1030"/>
        </w:trPr>
        <w:tc>
          <w:tcPr>
            <w:tcW w:w="0" w:type="auto"/>
            <w:tcBorders>
              <w:top w:val="nil"/>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hideMark/>
          </w:tcPr>
          <w:p w14:paraId="1FD253D9" w14:textId="77777777" w:rsidR="00EB4B4C" w:rsidRPr="000D1BCE" w:rsidRDefault="00EB4B4C" w:rsidP="00F57E20">
            <w:pPr>
              <w:spacing w:after="160" w:line="259" w:lineRule="auto"/>
              <w:rPr>
                <w:sz w:val="16"/>
                <w:szCs w:val="16"/>
                <w:lang w:val="en-GB"/>
              </w:rPr>
            </w:pPr>
            <w:r w:rsidRPr="000D1BCE">
              <w:rPr>
                <w:sz w:val="16"/>
                <w:szCs w:val="16"/>
                <w:lang w:val="en-GB"/>
              </w:rPr>
              <w:t>NDOS</w:t>
            </w:r>
          </w:p>
        </w:tc>
        <w:tc>
          <w:tcPr>
            <w:tcW w:w="0" w:type="auto"/>
            <w:tcBorders>
              <w:top w:val="nil"/>
              <w:left w:val="nil"/>
              <w:bottom w:val="single" w:sz="8" w:space="0" w:color="auto"/>
              <w:right w:val="single" w:sz="8" w:space="0" w:color="auto"/>
            </w:tcBorders>
            <w:shd w:val="clear" w:color="auto" w:fill="C0E6F5"/>
            <w:noWrap/>
            <w:tcMar>
              <w:top w:w="0" w:type="dxa"/>
              <w:left w:w="108" w:type="dxa"/>
              <w:bottom w:w="0" w:type="dxa"/>
              <w:right w:w="108" w:type="dxa"/>
            </w:tcMar>
            <w:hideMark/>
          </w:tcPr>
          <w:p w14:paraId="62E765E6" w14:textId="77777777" w:rsidR="00EB4B4C" w:rsidRPr="000D1BCE" w:rsidRDefault="00EB4B4C" w:rsidP="00F57E20">
            <w:pPr>
              <w:spacing w:after="160" w:line="259" w:lineRule="auto"/>
              <w:rPr>
                <w:sz w:val="16"/>
                <w:szCs w:val="16"/>
                <w:lang w:val="en-GB"/>
              </w:rPr>
            </w:pPr>
            <w:r w:rsidRPr="000D1BCE">
              <w:rPr>
                <w:sz w:val="16"/>
                <w:szCs w:val="16"/>
                <w:lang w:val="en-GB"/>
              </w:rPr>
              <w:t>NIGHT DELIVERY ORDERS</w:t>
            </w:r>
          </w:p>
        </w:tc>
        <w:tc>
          <w:tcPr>
            <w:tcW w:w="0" w:type="auto"/>
            <w:tcBorders>
              <w:top w:val="nil"/>
              <w:left w:val="nil"/>
              <w:bottom w:val="single" w:sz="8" w:space="0" w:color="auto"/>
              <w:right w:val="single" w:sz="8" w:space="0" w:color="auto"/>
            </w:tcBorders>
            <w:shd w:val="clear" w:color="auto" w:fill="C0E6F5"/>
            <w:tcMar>
              <w:top w:w="0" w:type="dxa"/>
              <w:left w:w="108" w:type="dxa"/>
              <w:bottom w:w="0" w:type="dxa"/>
              <w:right w:w="108" w:type="dxa"/>
            </w:tcMar>
            <w:hideMark/>
          </w:tcPr>
          <w:p w14:paraId="623D1FFD" w14:textId="77777777" w:rsidR="00EB4B4C" w:rsidRPr="000D1BCE" w:rsidRDefault="00EB4B4C" w:rsidP="00F57E20">
            <w:pPr>
              <w:spacing w:after="160" w:line="259" w:lineRule="auto"/>
              <w:rPr>
                <w:sz w:val="16"/>
                <w:szCs w:val="16"/>
                <w:lang w:val="en-GB"/>
              </w:rPr>
            </w:pPr>
            <w:r w:rsidRPr="000D1BCE">
              <w:rPr>
                <w:sz w:val="16"/>
                <w:szCs w:val="16"/>
                <w:lang w:val="en-GB"/>
              </w:rPr>
              <w:t>Deliver Orders submitted prior to the settlement date which are processed during the night cycle.</w:t>
            </w:r>
          </w:p>
        </w:tc>
      </w:tr>
      <w:tr w:rsidR="00EB4B4C" w:rsidRPr="000D1BCE" w14:paraId="190B746D" w14:textId="77777777" w:rsidTr="00F57E20">
        <w:trPr>
          <w:trHeight w:val="124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8061FC" w14:textId="77777777" w:rsidR="00EB4B4C" w:rsidRPr="000D1BCE" w:rsidRDefault="00EB4B4C" w:rsidP="00F57E20">
            <w:pPr>
              <w:spacing w:after="160" w:line="259" w:lineRule="auto"/>
              <w:rPr>
                <w:sz w:val="16"/>
                <w:szCs w:val="16"/>
                <w:lang w:val="en-GB"/>
              </w:rPr>
            </w:pPr>
            <w:r w:rsidRPr="000D1BCE">
              <w:rPr>
                <w:sz w:val="16"/>
                <w:szCs w:val="16"/>
                <w:lang w:val="en-GB"/>
              </w:rPr>
              <w:t>OTHR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73BEFAB" w14:textId="77777777" w:rsidR="00EB4B4C" w:rsidRPr="000D1BCE" w:rsidRDefault="00EB4B4C" w:rsidP="00F57E20">
            <w:pPr>
              <w:spacing w:after="160" w:line="259" w:lineRule="auto"/>
              <w:rPr>
                <w:sz w:val="16"/>
                <w:szCs w:val="16"/>
                <w:lang w:val="en-GB"/>
              </w:rPr>
            </w:pPr>
            <w:r w:rsidRPr="000D1BCE">
              <w:rPr>
                <w:sz w:val="16"/>
                <w:szCs w:val="16"/>
                <w:lang w:val="en-GB"/>
              </w:rPr>
              <w:t>NOT SUBJECT TO IMS AUTHORIZATION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6634FC" w14:textId="77777777" w:rsidR="00EB4B4C" w:rsidRPr="000D1BCE" w:rsidRDefault="00EB4B4C" w:rsidP="00F57E20">
            <w:pPr>
              <w:spacing w:after="160" w:line="259" w:lineRule="auto"/>
              <w:rPr>
                <w:sz w:val="16"/>
                <w:szCs w:val="16"/>
                <w:lang w:val="en-GB"/>
              </w:rPr>
            </w:pPr>
            <w:r w:rsidRPr="000D1BCE">
              <w:rPr>
                <w:sz w:val="16"/>
                <w:szCs w:val="16"/>
                <w:lang w:val="en-GB"/>
              </w:rPr>
              <w:t>Transactions submitted for Settlement on the day of settlement or from internal DTC applications have this designation</w:t>
            </w:r>
          </w:p>
        </w:tc>
      </w:tr>
      <w:tr w:rsidR="00EB4B4C" w:rsidRPr="000D1BCE" w14:paraId="5EF63AC2" w14:textId="77777777" w:rsidTr="00F57E20">
        <w:trPr>
          <w:trHeight w:val="500"/>
        </w:trPr>
        <w:tc>
          <w:tcPr>
            <w:tcW w:w="0" w:type="auto"/>
            <w:tcBorders>
              <w:top w:val="nil"/>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hideMark/>
          </w:tcPr>
          <w:p w14:paraId="677E3B02" w14:textId="77777777" w:rsidR="00EB4B4C" w:rsidRPr="000D1BCE" w:rsidRDefault="00EB4B4C" w:rsidP="00F57E20">
            <w:pPr>
              <w:spacing w:after="160" w:line="259" w:lineRule="auto"/>
              <w:rPr>
                <w:sz w:val="16"/>
                <w:szCs w:val="16"/>
                <w:lang w:val="en-GB"/>
              </w:rPr>
            </w:pPr>
            <w:r w:rsidRPr="000D1BCE">
              <w:rPr>
                <w:sz w:val="16"/>
                <w:szCs w:val="16"/>
                <w:lang w:val="en-GB"/>
              </w:rPr>
              <w:t>PETS</w:t>
            </w:r>
          </w:p>
        </w:tc>
        <w:tc>
          <w:tcPr>
            <w:tcW w:w="0" w:type="auto"/>
            <w:tcBorders>
              <w:top w:val="nil"/>
              <w:left w:val="nil"/>
              <w:bottom w:val="single" w:sz="8" w:space="0" w:color="auto"/>
              <w:right w:val="single" w:sz="8" w:space="0" w:color="auto"/>
            </w:tcBorders>
            <w:shd w:val="clear" w:color="auto" w:fill="C0E6F5"/>
            <w:noWrap/>
            <w:tcMar>
              <w:top w:w="0" w:type="dxa"/>
              <w:left w:w="108" w:type="dxa"/>
              <w:bottom w:w="0" w:type="dxa"/>
              <w:right w:w="108" w:type="dxa"/>
            </w:tcMar>
            <w:hideMark/>
          </w:tcPr>
          <w:p w14:paraId="70AAAB84" w14:textId="77777777" w:rsidR="00EB4B4C" w:rsidRPr="000D1BCE" w:rsidRDefault="00EB4B4C" w:rsidP="00F57E20">
            <w:pPr>
              <w:spacing w:after="160" w:line="259" w:lineRule="auto"/>
              <w:rPr>
                <w:sz w:val="16"/>
                <w:szCs w:val="16"/>
                <w:lang w:val="en-GB"/>
              </w:rPr>
            </w:pPr>
            <w:r w:rsidRPr="000D1BCE">
              <w:rPr>
                <w:sz w:val="16"/>
                <w:szCs w:val="16"/>
                <w:lang w:val="en-GB"/>
              </w:rPr>
              <w:t>PARTICIPANT TRANSACTIONS</w:t>
            </w:r>
          </w:p>
        </w:tc>
        <w:tc>
          <w:tcPr>
            <w:tcW w:w="0" w:type="auto"/>
            <w:tcBorders>
              <w:top w:val="nil"/>
              <w:left w:val="nil"/>
              <w:bottom w:val="single" w:sz="8" w:space="0" w:color="auto"/>
              <w:right w:val="single" w:sz="8" w:space="0" w:color="auto"/>
            </w:tcBorders>
            <w:shd w:val="clear" w:color="auto" w:fill="C0E6F5"/>
            <w:noWrap/>
            <w:tcMar>
              <w:top w:w="0" w:type="dxa"/>
              <w:left w:w="108" w:type="dxa"/>
              <w:bottom w:w="0" w:type="dxa"/>
              <w:right w:w="108" w:type="dxa"/>
            </w:tcMar>
            <w:hideMark/>
          </w:tcPr>
          <w:p w14:paraId="5E82E774" w14:textId="77777777" w:rsidR="00EB4B4C" w:rsidRPr="000D1BCE" w:rsidRDefault="00EB4B4C" w:rsidP="00F57E20">
            <w:pPr>
              <w:spacing w:after="160" w:line="259" w:lineRule="auto"/>
              <w:rPr>
                <w:sz w:val="16"/>
                <w:szCs w:val="16"/>
                <w:lang w:val="en-GB"/>
              </w:rPr>
            </w:pPr>
            <w:r w:rsidRPr="000D1BCE">
              <w:rPr>
                <w:sz w:val="16"/>
                <w:szCs w:val="16"/>
                <w:lang w:val="en-GB"/>
              </w:rPr>
              <w:t>&lt;DEPRECATED&gt;</w:t>
            </w:r>
          </w:p>
        </w:tc>
      </w:tr>
      <w:tr w:rsidR="00EB4B4C" w:rsidRPr="000D1BCE" w14:paraId="6BB73807" w14:textId="77777777" w:rsidTr="00F57E20">
        <w:trPr>
          <w:trHeight w:val="168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391AB7" w14:textId="77777777" w:rsidR="00EB4B4C" w:rsidRPr="000D1BCE" w:rsidRDefault="00EB4B4C" w:rsidP="00F57E20">
            <w:pPr>
              <w:spacing w:after="160" w:line="259" w:lineRule="auto"/>
              <w:rPr>
                <w:sz w:val="16"/>
                <w:szCs w:val="16"/>
                <w:lang w:val="en-GB"/>
              </w:rPr>
            </w:pPr>
            <w:r w:rsidRPr="000D1BCE">
              <w:rPr>
                <w:sz w:val="16"/>
                <w:szCs w:val="16"/>
                <w:lang w:val="en-GB"/>
              </w:rPr>
              <w:t>RDRP</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4C2AA15" w14:textId="77777777" w:rsidR="00EB4B4C" w:rsidRPr="000D1BCE" w:rsidRDefault="00EB4B4C" w:rsidP="00F57E20">
            <w:pPr>
              <w:spacing w:after="160" w:line="259" w:lineRule="auto"/>
              <w:rPr>
                <w:sz w:val="16"/>
                <w:szCs w:val="16"/>
                <w:lang w:val="en-GB"/>
              </w:rPr>
            </w:pPr>
            <w:r w:rsidRPr="000D1BCE">
              <w:rPr>
                <w:sz w:val="16"/>
                <w:szCs w:val="16"/>
                <w:lang w:val="en-GB"/>
              </w:rPr>
              <w:t>REINTRODUCED DROPS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B03CC08" w14:textId="77777777" w:rsidR="00EB4B4C" w:rsidRPr="000D1BCE" w:rsidRDefault="00EB4B4C" w:rsidP="00F57E20">
            <w:pPr>
              <w:spacing w:after="160" w:line="259" w:lineRule="auto"/>
              <w:rPr>
                <w:sz w:val="16"/>
                <w:szCs w:val="16"/>
                <w:lang w:val="en-GB"/>
              </w:rPr>
            </w:pPr>
            <w:r w:rsidRPr="000D1BCE">
              <w:rPr>
                <w:sz w:val="16"/>
                <w:szCs w:val="16"/>
                <w:lang w:val="en-GB"/>
              </w:rPr>
              <w:t>Dropped and Unapproved RAD transactions that DTC’s customers having asked DTC (via Reintroduced Drop Profile) to re-submit to ATP if the transaction did not reach a final state on Settlement Day.  Currently there is no limit to the number of days a transaction can drop and be recycled.</w:t>
            </w:r>
          </w:p>
        </w:tc>
      </w:tr>
    </w:tbl>
    <w:p w14:paraId="5C9DB857" w14:textId="77777777" w:rsidR="00D31DC9" w:rsidRPr="00EB4B4C" w:rsidRDefault="00D31DC9" w:rsidP="00235D7A">
      <w:pPr>
        <w:ind w:left="360"/>
        <w:jc w:val="both"/>
        <w:rPr>
          <w:bCs/>
          <w:szCs w:val="24"/>
          <w:lang w:val="en-GB"/>
        </w:rPr>
      </w:pPr>
    </w:p>
    <w:p w14:paraId="6A61CC95" w14:textId="77777777" w:rsidR="001D4F1A" w:rsidRDefault="001D4F1A" w:rsidP="00235D7A">
      <w:pPr>
        <w:ind w:left="360"/>
        <w:jc w:val="both"/>
        <w:rPr>
          <w:bCs/>
          <w:szCs w:val="24"/>
        </w:rPr>
      </w:pPr>
    </w:p>
    <w:p w14:paraId="44F26431" w14:textId="77777777" w:rsidR="001D4F1A" w:rsidRPr="00CB5581" w:rsidRDefault="001D4F1A" w:rsidP="001D4F1A">
      <w:pPr>
        <w:numPr>
          <w:ilvl w:val="0"/>
          <w:numId w:val="6"/>
        </w:numPr>
        <w:rPr>
          <w:b/>
          <w:szCs w:val="24"/>
          <w:lang w:val="en-GB"/>
        </w:rPr>
      </w:pPr>
      <w:r w:rsidRPr="00CB5581">
        <w:rPr>
          <w:b/>
          <w:szCs w:val="24"/>
          <w:lang w:val="en-GB"/>
        </w:rPr>
        <w:t>Urgency of the request:</w:t>
      </w:r>
    </w:p>
    <w:p w14:paraId="21FA9381" w14:textId="77777777" w:rsidR="001D4F1A" w:rsidRPr="00CB5581" w:rsidRDefault="001D4F1A" w:rsidP="001D4F1A">
      <w:pPr>
        <w:ind w:left="360"/>
        <w:rPr>
          <w:bCs/>
          <w:szCs w:val="24"/>
          <w:lang w:val="en-GB"/>
        </w:rPr>
      </w:pPr>
      <w:r w:rsidRPr="00CB5581">
        <w:rPr>
          <w:bCs/>
          <w:szCs w:val="24"/>
          <w:lang w:val="en-GB"/>
        </w:rPr>
        <w:t>Next yearly maintenance cycle.</w:t>
      </w:r>
    </w:p>
    <w:p w14:paraId="72D1875F" w14:textId="77777777" w:rsidR="001D4F1A" w:rsidRPr="001D4F1A" w:rsidRDefault="001D4F1A" w:rsidP="001D4F1A">
      <w:pPr>
        <w:ind w:left="360"/>
        <w:rPr>
          <w:szCs w:val="24"/>
          <w:lang w:val="en-GB"/>
        </w:rPr>
      </w:pPr>
    </w:p>
    <w:p w14:paraId="16387BC1" w14:textId="36A4FED8" w:rsidR="00783891" w:rsidRDefault="00FF4AEF" w:rsidP="001D4F1A">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2"/>
      <w:footerReference w:type="default" r:id="rId1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D57F5" w14:textId="77777777" w:rsidR="00346350" w:rsidRDefault="00346350">
      <w:r>
        <w:separator/>
      </w:r>
    </w:p>
  </w:endnote>
  <w:endnote w:type="continuationSeparator" w:id="0">
    <w:p w14:paraId="50FD70D2" w14:textId="77777777" w:rsidR="00346350" w:rsidRDefault="0034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2F274ECC" w:rsidR="00567F13" w:rsidRDefault="00BF29E2">
    <w:pPr>
      <w:pStyle w:val="Footer"/>
      <w:rPr>
        <w:rStyle w:val="PageNumber"/>
      </w:rPr>
    </w:pPr>
    <w:fldSimple w:instr=" FILENAME   \* MERGEFORMAT ">
      <w:r>
        <w:rPr>
          <w:noProof/>
        </w:rPr>
        <w:t>CR1507_ISITC_SnR_ProcessingIndicator_v1.docx</w:t>
      </w:r>
    </w:fldSimple>
    <w:r w:rsidR="00567F13">
      <w:tab/>
      <w:t xml:space="preserve">Produced by </w:t>
    </w:r>
    <w:r w:rsidR="00910AA0">
      <w:t>ISITC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C4E8" w14:textId="77777777" w:rsidR="00346350" w:rsidRDefault="00346350">
      <w:r>
        <w:separator/>
      </w:r>
    </w:p>
  </w:footnote>
  <w:footnote w:type="continuationSeparator" w:id="0">
    <w:p w14:paraId="4149D082" w14:textId="77777777" w:rsidR="00346350" w:rsidRDefault="00346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1ED8384E" w:rsidR="00E74C04" w:rsidRPr="00801493" w:rsidRDefault="00801493">
    <w:pPr>
      <w:pStyle w:val="Header"/>
      <w:rPr>
        <w:lang w:val="fr-BE"/>
      </w:rPr>
    </w:pPr>
    <w:r>
      <w:rPr>
        <w:lang w:val="fr-BE"/>
      </w:rPr>
      <w:t xml:space="preserve">RA ID : </w:t>
    </w:r>
    <w:r w:rsidR="00D80575">
      <w:rPr>
        <w:lang w:val="fr-BE"/>
      </w:rPr>
      <w:t>CR1507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DBC6BE04"/>
    <w:lvl w:ilvl="0" w:tplc="3DE25E7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17DE"/>
    <w:rsid w:val="000A20E4"/>
    <w:rsid w:val="000B2277"/>
    <w:rsid w:val="000B521D"/>
    <w:rsid w:val="000B65C7"/>
    <w:rsid w:val="000C015D"/>
    <w:rsid w:val="000D5D39"/>
    <w:rsid w:val="000E2471"/>
    <w:rsid w:val="000E7941"/>
    <w:rsid w:val="000F0925"/>
    <w:rsid w:val="000F3C8B"/>
    <w:rsid w:val="000F43E3"/>
    <w:rsid w:val="00101212"/>
    <w:rsid w:val="00101D5F"/>
    <w:rsid w:val="00103124"/>
    <w:rsid w:val="00105754"/>
    <w:rsid w:val="00114137"/>
    <w:rsid w:val="0012701C"/>
    <w:rsid w:val="00130EB9"/>
    <w:rsid w:val="0014379C"/>
    <w:rsid w:val="00153ED1"/>
    <w:rsid w:val="00163DB3"/>
    <w:rsid w:val="001711D3"/>
    <w:rsid w:val="00185453"/>
    <w:rsid w:val="00185E8E"/>
    <w:rsid w:val="001B1858"/>
    <w:rsid w:val="001B5C62"/>
    <w:rsid w:val="001D0D1B"/>
    <w:rsid w:val="001D176B"/>
    <w:rsid w:val="001D1E77"/>
    <w:rsid w:val="001D20B3"/>
    <w:rsid w:val="001D4F1A"/>
    <w:rsid w:val="001E287E"/>
    <w:rsid w:val="001E2B1C"/>
    <w:rsid w:val="001E3BCF"/>
    <w:rsid w:val="001F2424"/>
    <w:rsid w:val="00217122"/>
    <w:rsid w:val="00217AE9"/>
    <w:rsid w:val="00225AA9"/>
    <w:rsid w:val="00230574"/>
    <w:rsid w:val="00231CFF"/>
    <w:rsid w:val="00235D7A"/>
    <w:rsid w:val="002442A7"/>
    <w:rsid w:val="002472D9"/>
    <w:rsid w:val="002509A2"/>
    <w:rsid w:val="0025138E"/>
    <w:rsid w:val="002521C9"/>
    <w:rsid w:val="002711E6"/>
    <w:rsid w:val="002904C8"/>
    <w:rsid w:val="002B0567"/>
    <w:rsid w:val="002D33A4"/>
    <w:rsid w:val="002D549A"/>
    <w:rsid w:val="002D5C8D"/>
    <w:rsid w:val="002E014D"/>
    <w:rsid w:val="002E27A9"/>
    <w:rsid w:val="002F2BA7"/>
    <w:rsid w:val="002F6B3B"/>
    <w:rsid w:val="003006F2"/>
    <w:rsid w:val="003014E7"/>
    <w:rsid w:val="00303E94"/>
    <w:rsid w:val="00304151"/>
    <w:rsid w:val="00316F04"/>
    <w:rsid w:val="00320A89"/>
    <w:rsid w:val="00324C6F"/>
    <w:rsid w:val="00332E8F"/>
    <w:rsid w:val="00335385"/>
    <w:rsid w:val="00336209"/>
    <w:rsid w:val="00336ED6"/>
    <w:rsid w:val="00346350"/>
    <w:rsid w:val="00355077"/>
    <w:rsid w:val="00360300"/>
    <w:rsid w:val="00372194"/>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05B6B"/>
    <w:rsid w:val="004227C2"/>
    <w:rsid w:val="00427966"/>
    <w:rsid w:val="0044313F"/>
    <w:rsid w:val="00445D10"/>
    <w:rsid w:val="00446B25"/>
    <w:rsid w:val="00446D43"/>
    <w:rsid w:val="004475F9"/>
    <w:rsid w:val="0045022C"/>
    <w:rsid w:val="00451986"/>
    <w:rsid w:val="00462051"/>
    <w:rsid w:val="00465900"/>
    <w:rsid w:val="00473145"/>
    <w:rsid w:val="004846A1"/>
    <w:rsid w:val="004A02CE"/>
    <w:rsid w:val="004A168F"/>
    <w:rsid w:val="004A31AA"/>
    <w:rsid w:val="004B5A22"/>
    <w:rsid w:val="004D0B29"/>
    <w:rsid w:val="004E1F21"/>
    <w:rsid w:val="004F0578"/>
    <w:rsid w:val="004F0934"/>
    <w:rsid w:val="004F4347"/>
    <w:rsid w:val="004F61D5"/>
    <w:rsid w:val="004F61DC"/>
    <w:rsid w:val="0050171A"/>
    <w:rsid w:val="00512FD4"/>
    <w:rsid w:val="0052302E"/>
    <w:rsid w:val="005246BE"/>
    <w:rsid w:val="00527AC9"/>
    <w:rsid w:val="00527B5E"/>
    <w:rsid w:val="005411C7"/>
    <w:rsid w:val="00542D05"/>
    <w:rsid w:val="00555709"/>
    <w:rsid w:val="00563FFF"/>
    <w:rsid w:val="005677B8"/>
    <w:rsid w:val="00567F13"/>
    <w:rsid w:val="00573C83"/>
    <w:rsid w:val="00577861"/>
    <w:rsid w:val="00577BCC"/>
    <w:rsid w:val="005810CA"/>
    <w:rsid w:val="0058193F"/>
    <w:rsid w:val="00581FBB"/>
    <w:rsid w:val="00594A5F"/>
    <w:rsid w:val="005960E2"/>
    <w:rsid w:val="00596453"/>
    <w:rsid w:val="00596B0A"/>
    <w:rsid w:val="005A1AA5"/>
    <w:rsid w:val="005A7F37"/>
    <w:rsid w:val="005B4CAC"/>
    <w:rsid w:val="005B602E"/>
    <w:rsid w:val="005C4C5F"/>
    <w:rsid w:val="005D06FE"/>
    <w:rsid w:val="005E1210"/>
    <w:rsid w:val="005E3784"/>
    <w:rsid w:val="005E46E4"/>
    <w:rsid w:val="005E7656"/>
    <w:rsid w:val="005F05DB"/>
    <w:rsid w:val="005F2E6B"/>
    <w:rsid w:val="006043A9"/>
    <w:rsid w:val="00610B1B"/>
    <w:rsid w:val="00610F9A"/>
    <w:rsid w:val="0062154C"/>
    <w:rsid w:val="006239E8"/>
    <w:rsid w:val="006316E5"/>
    <w:rsid w:val="00631A43"/>
    <w:rsid w:val="0063312E"/>
    <w:rsid w:val="00633B0A"/>
    <w:rsid w:val="00645198"/>
    <w:rsid w:val="006643DC"/>
    <w:rsid w:val="006A02BC"/>
    <w:rsid w:val="006A2388"/>
    <w:rsid w:val="006A7B96"/>
    <w:rsid w:val="006B20DC"/>
    <w:rsid w:val="006B6471"/>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060C8"/>
    <w:rsid w:val="0081068B"/>
    <w:rsid w:val="00810810"/>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4593"/>
    <w:rsid w:val="008869D6"/>
    <w:rsid w:val="008A7F65"/>
    <w:rsid w:val="008C0ED2"/>
    <w:rsid w:val="008E5551"/>
    <w:rsid w:val="008F5C90"/>
    <w:rsid w:val="00900CFB"/>
    <w:rsid w:val="00906C6A"/>
    <w:rsid w:val="00910AA0"/>
    <w:rsid w:val="00914273"/>
    <w:rsid w:val="00916A80"/>
    <w:rsid w:val="00922287"/>
    <w:rsid w:val="009279BF"/>
    <w:rsid w:val="00937D26"/>
    <w:rsid w:val="00951C86"/>
    <w:rsid w:val="00956D7A"/>
    <w:rsid w:val="00965199"/>
    <w:rsid w:val="00966046"/>
    <w:rsid w:val="009770EE"/>
    <w:rsid w:val="009A572B"/>
    <w:rsid w:val="009C1445"/>
    <w:rsid w:val="009C512F"/>
    <w:rsid w:val="00A10221"/>
    <w:rsid w:val="00A13397"/>
    <w:rsid w:val="00A21B8D"/>
    <w:rsid w:val="00A22F1A"/>
    <w:rsid w:val="00A25B84"/>
    <w:rsid w:val="00A32450"/>
    <w:rsid w:val="00A40916"/>
    <w:rsid w:val="00A46877"/>
    <w:rsid w:val="00A47C6F"/>
    <w:rsid w:val="00A5492F"/>
    <w:rsid w:val="00A60DC3"/>
    <w:rsid w:val="00A60E56"/>
    <w:rsid w:val="00A91F56"/>
    <w:rsid w:val="00AA5E76"/>
    <w:rsid w:val="00AD0DC7"/>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115E"/>
    <w:rsid w:val="00BB7F97"/>
    <w:rsid w:val="00BC4D68"/>
    <w:rsid w:val="00BD401D"/>
    <w:rsid w:val="00BD6786"/>
    <w:rsid w:val="00BF29E2"/>
    <w:rsid w:val="00BF457F"/>
    <w:rsid w:val="00C06496"/>
    <w:rsid w:val="00C122AE"/>
    <w:rsid w:val="00C124B1"/>
    <w:rsid w:val="00C1479E"/>
    <w:rsid w:val="00C17665"/>
    <w:rsid w:val="00C32DF8"/>
    <w:rsid w:val="00C40729"/>
    <w:rsid w:val="00C41DDB"/>
    <w:rsid w:val="00C46C5A"/>
    <w:rsid w:val="00C52ABE"/>
    <w:rsid w:val="00C656B1"/>
    <w:rsid w:val="00C7056E"/>
    <w:rsid w:val="00C77180"/>
    <w:rsid w:val="00C842B4"/>
    <w:rsid w:val="00C931DF"/>
    <w:rsid w:val="00CA2023"/>
    <w:rsid w:val="00CA4AE1"/>
    <w:rsid w:val="00CB683A"/>
    <w:rsid w:val="00CB7C2C"/>
    <w:rsid w:val="00CC062F"/>
    <w:rsid w:val="00CC1768"/>
    <w:rsid w:val="00CC68E1"/>
    <w:rsid w:val="00CD0745"/>
    <w:rsid w:val="00CD363B"/>
    <w:rsid w:val="00CD3C90"/>
    <w:rsid w:val="00CD44FD"/>
    <w:rsid w:val="00CD59B1"/>
    <w:rsid w:val="00CF098A"/>
    <w:rsid w:val="00CF3041"/>
    <w:rsid w:val="00D123C1"/>
    <w:rsid w:val="00D234FD"/>
    <w:rsid w:val="00D2600B"/>
    <w:rsid w:val="00D31DC9"/>
    <w:rsid w:val="00D4484B"/>
    <w:rsid w:val="00D51B61"/>
    <w:rsid w:val="00D53A6D"/>
    <w:rsid w:val="00D56571"/>
    <w:rsid w:val="00D66DA9"/>
    <w:rsid w:val="00D67DE0"/>
    <w:rsid w:val="00D73E09"/>
    <w:rsid w:val="00D74F66"/>
    <w:rsid w:val="00D80575"/>
    <w:rsid w:val="00D82FBD"/>
    <w:rsid w:val="00D8487B"/>
    <w:rsid w:val="00D917C0"/>
    <w:rsid w:val="00D9338F"/>
    <w:rsid w:val="00D9582C"/>
    <w:rsid w:val="00DA043A"/>
    <w:rsid w:val="00DA116C"/>
    <w:rsid w:val="00DA22C9"/>
    <w:rsid w:val="00DB419A"/>
    <w:rsid w:val="00DC195F"/>
    <w:rsid w:val="00DC2F0E"/>
    <w:rsid w:val="00DC68D5"/>
    <w:rsid w:val="00DD37B4"/>
    <w:rsid w:val="00DD422D"/>
    <w:rsid w:val="00E0445F"/>
    <w:rsid w:val="00E11D29"/>
    <w:rsid w:val="00E1588B"/>
    <w:rsid w:val="00E256FC"/>
    <w:rsid w:val="00E3221E"/>
    <w:rsid w:val="00E37E77"/>
    <w:rsid w:val="00E5111B"/>
    <w:rsid w:val="00E67D1B"/>
    <w:rsid w:val="00E74C04"/>
    <w:rsid w:val="00E7537D"/>
    <w:rsid w:val="00E76E67"/>
    <w:rsid w:val="00E840B6"/>
    <w:rsid w:val="00E845AB"/>
    <w:rsid w:val="00E8579D"/>
    <w:rsid w:val="00E872A0"/>
    <w:rsid w:val="00E928F1"/>
    <w:rsid w:val="00EA0A58"/>
    <w:rsid w:val="00EA246B"/>
    <w:rsid w:val="00EA3454"/>
    <w:rsid w:val="00EB0F3F"/>
    <w:rsid w:val="00EB2786"/>
    <w:rsid w:val="00EB4B4C"/>
    <w:rsid w:val="00EB589C"/>
    <w:rsid w:val="00EB6791"/>
    <w:rsid w:val="00EC35A4"/>
    <w:rsid w:val="00EC4454"/>
    <w:rsid w:val="00ED1FC8"/>
    <w:rsid w:val="00ED43BB"/>
    <w:rsid w:val="00EE1199"/>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1F31"/>
    <w:rsid w:val="00F8432C"/>
    <w:rsid w:val="00F91D83"/>
    <w:rsid w:val="00F91F93"/>
    <w:rsid w:val="00F93A64"/>
    <w:rsid w:val="00F94A2A"/>
    <w:rsid w:val="00FA112C"/>
    <w:rsid w:val="00FA527D"/>
    <w:rsid w:val="00FA5BE0"/>
    <w:rsid w:val="00FB56E2"/>
    <w:rsid w:val="00FB6625"/>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244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5193">
      <w:bodyDiv w:val="1"/>
      <w:marLeft w:val="0"/>
      <w:marRight w:val="0"/>
      <w:marTop w:val="0"/>
      <w:marBottom w:val="0"/>
      <w:divBdr>
        <w:top w:val="none" w:sz="0" w:space="0" w:color="auto"/>
        <w:left w:val="none" w:sz="0" w:space="0" w:color="auto"/>
        <w:bottom w:val="none" w:sz="0" w:space="0" w:color="auto"/>
        <w:right w:val="none" w:sz="0" w:space="0" w:color="auto"/>
      </w:divBdr>
    </w:div>
    <w:div w:id="411632632">
      <w:bodyDiv w:val="1"/>
      <w:marLeft w:val="0"/>
      <w:marRight w:val="0"/>
      <w:marTop w:val="0"/>
      <w:marBottom w:val="0"/>
      <w:divBdr>
        <w:top w:val="none" w:sz="0" w:space="0" w:color="auto"/>
        <w:left w:val="none" w:sz="0" w:space="0" w:color="auto"/>
        <w:bottom w:val="none" w:sz="0" w:space="0" w:color="auto"/>
        <w:right w:val="none" w:sz="0" w:space="0" w:color="auto"/>
      </w:divBdr>
    </w:div>
    <w:div w:id="1144587846">
      <w:bodyDiv w:val="1"/>
      <w:marLeft w:val="0"/>
      <w:marRight w:val="0"/>
      <w:marTop w:val="0"/>
      <w:marBottom w:val="0"/>
      <w:divBdr>
        <w:top w:val="none" w:sz="0" w:space="0" w:color="auto"/>
        <w:left w:val="none" w:sz="0" w:space="0" w:color="auto"/>
        <w:bottom w:val="none" w:sz="0" w:space="0" w:color="auto"/>
        <w:right w:val="none" w:sz="0" w:space="0" w:color="auto"/>
      </w:divBdr>
    </w:div>
    <w:div w:id="1176731560">
      <w:bodyDiv w:val="1"/>
      <w:marLeft w:val="0"/>
      <w:marRight w:val="0"/>
      <w:marTop w:val="0"/>
      <w:marBottom w:val="0"/>
      <w:divBdr>
        <w:top w:val="none" w:sz="0" w:space="0" w:color="auto"/>
        <w:left w:val="none" w:sz="0" w:space="0" w:color="auto"/>
        <w:bottom w:val="none" w:sz="0" w:space="0" w:color="auto"/>
        <w:right w:val="none" w:sz="0" w:space="0" w:color="auto"/>
      </w:divBdr>
    </w:div>
    <w:div w:id="163351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2@ntr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rine.taquet@swift.com"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953</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6184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2</cp:revision>
  <cp:lastPrinted>2009-03-10T11:18:00Z</cp:lastPrinted>
  <dcterms:created xsi:type="dcterms:W3CDTF">2025-06-02T10:37:00Z</dcterms:created>
  <dcterms:modified xsi:type="dcterms:W3CDTF">2025-06-02T10:37:00Z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