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4E81" w14:textId="77777777" w:rsidR="00946697" w:rsidRDefault="00000000">
      <w:pPr>
        <w:jc w:val="center"/>
        <w:rPr>
          <w:b/>
          <w:smallCaps/>
          <w:szCs w:val="24"/>
          <w:lang w:val="en-GB"/>
        </w:rPr>
      </w:pPr>
      <w:r>
        <w:rPr>
          <w:b/>
          <w:smallCaps/>
          <w:szCs w:val="24"/>
          <w:lang w:val="en-GB"/>
        </w:rPr>
        <w:t>Change Request</w:t>
      </w:r>
    </w:p>
    <w:p w14:paraId="322BAF56" w14:textId="77777777" w:rsidR="00946697" w:rsidRDefault="00000000">
      <w:pPr>
        <w:jc w:val="center"/>
        <w:rPr>
          <w:b/>
          <w:smallCaps/>
          <w:szCs w:val="24"/>
          <w:lang w:val="en-GB"/>
        </w:rPr>
      </w:pPr>
      <w:r>
        <w:rPr>
          <w:b/>
          <w:smallCaps/>
          <w:szCs w:val="24"/>
          <w:lang w:val="en-GB"/>
        </w:rPr>
        <w:t>for the update of ISO 20022 financial repository items</w:t>
      </w:r>
    </w:p>
    <w:p w14:paraId="50F2557A" w14:textId="77777777" w:rsidR="00946697" w:rsidRDefault="00946697">
      <w:pPr>
        <w:rPr>
          <w:i/>
          <w:szCs w:val="24"/>
          <w:lang w:val="en-GB"/>
        </w:rPr>
      </w:pPr>
    </w:p>
    <w:p w14:paraId="7BC5FDFC" w14:textId="77777777" w:rsidR="00946697" w:rsidRDefault="00000000">
      <w:pPr>
        <w:numPr>
          <w:ilvl w:val="0"/>
          <w:numId w:val="4"/>
        </w:numPr>
        <w:rPr>
          <w:b/>
          <w:szCs w:val="24"/>
          <w:lang w:val="en-GB"/>
        </w:rPr>
      </w:pPr>
      <w:r>
        <w:rPr>
          <w:b/>
          <w:szCs w:val="24"/>
          <w:lang w:val="en-GB"/>
        </w:rPr>
        <w:t>Origin of the request:</w:t>
      </w:r>
    </w:p>
    <w:p w14:paraId="75ADB67D" w14:textId="77777777" w:rsidR="00946697" w:rsidRDefault="00000000">
      <w:pPr>
        <w:rPr>
          <w:szCs w:val="24"/>
          <w:lang w:val="en-GB"/>
        </w:rPr>
      </w:pPr>
      <w:r>
        <w:rPr>
          <w:i/>
          <w:szCs w:val="24"/>
          <w:lang w:val="en-GB"/>
        </w:rPr>
        <w:t>A.1 Submitter</w:t>
      </w:r>
      <w:r>
        <w:rPr>
          <w:szCs w:val="24"/>
          <w:lang w:val="en-GB"/>
        </w:rPr>
        <w:t xml:space="preserve">: nexo A.I.S.B.L. </w:t>
      </w:r>
    </w:p>
    <w:p w14:paraId="243EC2B0" w14:textId="77777777" w:rsidR="00946697" w:rsidRDefault="00000000">
      <w:pPr>
        <w:rPr>
          <w:szCs w:val="24"/>
          <w:lang w:val="en-GB"/>
        </w:rPr>
      </w:pPr>
      <w:r>
        <w:rPr>
          <w:i/>
          <w:szCs w:val="24"/>
          <w:lang w:val="en-GB"/>
        </w:rPr>
        <w:t>A.2 Contact person:</w:t>
      </w:r>
      <w:r>
        <w:rPr>
          <w:szCs w:val="24"/>
          <w:lang w:val="en-GB"/>
        </w:rPr>
        <w:t xml:space="preserve"> </w:t>
      </w:r>
    </w:p>
    <w:p w14:paraId="16BF955C" w14:textId="77777777" w:rsidR="00946697" w:rsidRPr="00C20BFB" w:rsidRDefault="00000000">
      <w:pPr>
        <w:numPr>
          <w:ilvl w:val="0"/>
          <w:numId w:val="5"/>
        </w:numPr>
        <w:rPr>
          <w:lang w:val="fr-FR"/>
        </w:rPr>
      </w:pPr>
      <w:r w:rsidRPr="00C20BFB">
        <w:rPr>
          <w:szCs w:val="24"/>
          <w:lang w:val="fr-FR"/>
        </w:rPr>
        <w:t>Philippe CECE (</w:t>
      </w:r>
      <w:hyperlink r:id="rId8">
        <w:r w:rsidRPr="00C20BFB">
          <w:rPr>
            <w:rStyle w:val="Hyperlink"/>
            <w:szCs w:val="24"/>
            <w:lang w:val="fr-FR"/>
          </w:rPr>
          <w:t>philippe.cece@nexo-standards.org</w:t>
        </w:r>
      </w:hyperlink>
      <w:r w:rsidRPr="00C20BFB">
        <w:rPr>
          <w:szCs w:val="24"/>
          <w:lang w:val="fr-FR"/>
        </w:rPr>
        <w:t>)</w:t>
      </w:r>
    </w:p>
    <w:p w14:paraId="4ED19F78" w14:textId="77777777" w:rsidR="00946697" w:rsidRPr="00C20BFB" w:rsidRDefault="00000000">
      <w:pPr>
        <w:numPr>
          <w:ilvl w:val="0"/>
          <w:numId w:val="5"/>
        </w:numPr>
        <w:rPr>
          <w:lang w:val="nl-BE"/>
        </w:rPr>
      </w:pPr>
      <w:r w:rsidRPr="00C20BFB">
        <w:rPr>
          <w:szCs w:val="24"/>
          <w:lang w:val="nl-BE"/>
        </w:rPr>
        <w:t>Evelyne de JONGHE (</w:t>
      </w:r>
      <w:r>
        <w:fldChar w:fldCharType="begin"/>
      </w:r>
      <w:r w:rsidRPr="00C20BFB">
        <w:rPr>
          <w:lang w:val="nl-BE"/>
        </w:rPr>
        <w:instrText>HYPERLINK "mailto:evelyne.de-jonghe@frenchsys.com" \h</w:instrText>
      </w:r>
      <w:r>
        <w:fldChar w:fldCharType="separate"/>
      </w:r>
      <w:r w:rsidRPr="00C20BFB">
        <w:rPr>
          <w:rStyle w:val="Hyperlink"/>
          <w:szCs w:val="24"/>
          <w:lang w:val="nl-BE"/>
        </w:rPr>
        <w:t>evelyne.de-jonghe@frenchsys.com</w:t>
      </w:r>
      <w:r>
        <w:fldChar w:fldCharType="end"/>
      </w:r>
      <w:r w:rsidRPr="00C20BFB">
        <w:rPr>
          <w:szCs w:val="24"/>
          <w:lang w:val="nl-BE"/>
        </w:rPr>
        <w:t>)</w:t>
      </w:r>
    </w:p>
    <w:p w14:paraId="525D042A" w14:textId="77777777" w:rsidR="00946697" w:rsidRDefault="00000000">
      <w:pPr>
        <w:rPr>
          <w:szCs w:val="24"/>
          <w:lang w:val="en-GB"/>
        </w:rPr>
      </w:pPr>
      <w:r w:rsidRPr="005654D6">
        <w:rPr>
          <w:i/>
          <w:szCs w:val="24"/>
        </w:rPr>
        <w:t xml:space="preserve"> </w:t>
      </w:r>
      <w:r>
        <w:rPr>
          <w:i/>
          <w:szCs w:val="24"/>
          <w:lang w:val="en-GB"/>
        </w:rPr>
        <w:t>A.3 Sponsors</w:t>
      </w:r>
      <w:r>
        <w:rPr>
          <w:szCs w:val="24"/>
          <w:lang w:val="en-GB"/>
        </w:rPr>
        <w:t>: nexo A.I.S.B.L.</w:t>
      </w:r>
    </w:p>
    <w:p w14:paraId="55759559" w14:textId="77777777" w:rsidR="00946697" w:rsidRDefault="00946697">
      <w:pPr>
        <w:rPr>
          <w:szCs w:val="24"/>
          <w:lang w:val="en-GB"/>
        </w:rPr>
      </w:pPr>
    </w:p>
    <w:p w14:paraId="1AEF6C39" w14:textId="77777777" w:rsidR="00946697" w:rsidRDefault="00000000">
      <w:pPr>
        <w:numPr>
          <w:ilvl w:val="0"/>
          <w:numId w:val="4"/>
        </w:numPr>
        <w:rPr>
          <w:b/>
          <w:lang w:val="en-GB"/>
        </w:rPr>
      </w:pPr>
      <w:r>
        <w:rPr>
          <w:b/>
          <w:lang w:val="en-GB"/>
        </w:rPr>
        <w:t>Related messages:</w:t>
      </w:r>
    </w:p>
    <w:p w14:paraId="6E1787F8" w14:textId="77777777" w:rsidR="00946697" w:rsidRDefault="00946697">
      <w:pPr>
        <w:rPr>
          <w:szCs w:val="24"/>
          <w:lang w:val="en-GB"/>
        </w:rPr>
      </w:pPr>
    </w:p>
    <w:p w14:paraId="17C816F4" w14:textId="77777777" w:rsidR="00946697" w:rsidRDefault="00000000">
      <w:pPr>
        <w:numPr>
          <w:ilvl w:val="0"/>
          <w:numId w:val="6"/>
        </w:numPr>
      </w:pPr>
      <w:proofErr w:type="spellStart"/>
      <w:r>
        <w:t>AcceptorAuthorisationRequest</w:t>
      </w:r>
      <w:proofErr w:type="spellEnd"/>
      <w:r>
        <w:t xml:space="preserve"> V14 (caaa.001.001.14)</w:t>
      </w:r>
    </w:p>
    <w:p w14:paraId="72254ACE" w14:textId="77777777" w:rsidR="00946697" w:rsidRDefault="00000000">
      <w:pPr>
        <w:numPr>
          <w:ilvl w:val="0"/>
          <w:numId w:val="6"/>
        </w:numPr>
      </w:pPr>
      <w:proofErr w:type="spellStart"/>
      <w:r>
        <w:t>AcceptorCompletionAdvice</w:t>
      </w:r>
      <w:proofErr w:type="spellEnd"/>
      <w:r>
        <w:t xml:space="preserve"> V14 (caaa.003.001.14)</w:t>
      </w:r>
    </w:p>
    <w:p w14:paraId="1BB3BB92" w14:textId="77777777" w:rsidR="00946697" w:rsidRDefault="00000000">
      <w:pPr>
        <w:numPr>
          <w:ilvl w:val="0"/>
          <w:numId w:val="6"/>
        </w:numPr>
      </w:pPr>
      <w:proofErr w:type="spellStart"/>
      <w:r>
        <w:t>AcceptorBatchTransfer</w:t>
      </w:r>
      <w:proofErr w:type="spellEnd"/>
      <w:r>
        <w:t xml:space="preserve"> V14 (caaa.011.001.14)</w:t>
      </w:r>
    </w:p>
    <w:p w14:paraId="592F97E5" w14:textId="77777777" w:rsidR="00946697" w:rsidRDefault="00000000">
      <w:pPr>
        <w:numPr>
          <w:ilvl w:val="0"/>
          <w:numId w:val="6"/>
        </w:numPr>
      </w:pPr>
      <w:proofErr w:type="spellStart"/>
      <w:r>
        <w:t>AcceptorCurrencyConversionRequest</w:t>
      </w:r>
      <w:proofErr w:type="spellEnd"/>
      <w:r>
        <w:t xml:space="preserve"> V12 (caaa.016.001.12)</w:t>
      </w:r>
    </w:p>
    <w:p w14:paraId="11E30D74" w14:textId="77777777" w:rsidR="00946697" w:rsidRDefault="00000000">
      <w:pPr>
        <w:numPr>
          <w:ilvl w:val="0"/>
          <w:numId w:val="6"/>
        </w:numPr>
      </w:pPr>
      <w:proofErr w:type="spellStart"/>
      <w:r>
        <w:t>TransactionAdvice</w:t>
      </w:r>
      <w:proofErr w:type="spellEnd"/>
      <w:r>
        <w:t xml:space="preserve"> V06 (caaa.020.001.06)</w:t>
      </w:r>
    </w:p>
    <w:p w14:paraId="4E87C5C6" w14:textId="77777777" w:rsidR="00946697" w:rsidRDefault="00000000">
      <w:pPr>
        <w:numPr>
          <w:ilvl w:val="0"/>
          <w:numId w:val="6"/>
        </w:numPr>
      </w:pPr>
      <w:proofErr w:type="spellStart"/>
      <w:r>
        <w:t>AcceptorNonFinancialRequest</w:t>
      </w:r>
      <w:proofErr w:type="spellEnd"/>
      <w:r>
        <w:t xml:space="preserve"> V05 (caaa.022.001.05)</w:t>
      </w:r>
    </w:p>
    <w:p w14:paraId="49BB2455" w14:textId="77777777" w:rsidR="00946697" w:rsidRDefault="00000000">
      <w:pPr>
        <w:numPr>
          <w:ilvl w:val="0"/>
          <w:numId w:val="6"/>
        </w:numPr>
      </w:pPr>
      <w:proofErr w:type="spellStart"/>
      <w:r>
        <w:t>AcceptorTransactionLogReportResponse</w:t>
      </w:r>
      <w:proofErr w:type="spellEnd"/>
      <w:r>
        <w:t xml:space="preserve"> V05 (caaa.025.001.05)</w:t>
      </w:r>
    </w:p>
    <w:p w14:paraId="2B6D9DD5" w14:textId="77777777" w:rsidR="00946697" w:rsidRDefault="00000000">
      <w:pPr>
        <w:numPr>
          <w:ilvl w:val="0"/>
          <w:numId w:val="6"/>
        </w:numPr>
      </w:pPr>
      <w:proofErr w:type="spellStart"/>
      <w:r>
        <w:t>AcceptorToAcquirerBatchFileExchange</w:t>
      </w:r>
      <w:proofErr w:type="spellEnd"/>
      <w:r>
        <w:t xml:space="preserve"> V02 (caaa.026.001.02)</w:t>
      </w:r>
    </w:p>
    <w:p w14:paraId="274CBCC3" w14:textId="77777777" w:rsidR="00946697" w:rsidRDefault="00946697"/>
    <w:p w14:paraId="45F24A26" w14:textId="77777777" w:rsidR="00946697" w:rsidRDefault="00000000">
      <w:pPr>
        <w:numPr>
          <w:ilvl w:val="0"/>
          <w:numId w:val="6"/>
        </w:numPr>
      </w:pPr>
      <w:proofErr w:type="spellStart"/>
      <w:r>
        <w:t>SaleToPOIServiceRequest</w:t>
      </w:r>
      <w:proofErr w:type="spellEnd"/>
      <w:r>
        <w:t xml:space="preserve"> V07 (casp.001.001.07)</w:t>
      </w:r>
    </w:p>
    <w:p w14:paraId="7B136E51" w14:textId="77777777" w:rsidR="00946697" w:rsidRDefault="00000000">
      <w:pPr>
        <w:numPr>
          <w:ilvl w:val="0"/>
          <w:numId w:val="6"/>
        </w:numPr>
      </w:pPr>
      <w:proofErr w:type="spellStart"/>
      <w:r>
        <w:t>SaleToPOIServiceResponse</w:t>
      </w:r>
      <w:proofErr w:type="spellEnd"/>
      <w:r>
        <w:t xml:space="preserve"> V07 (casp.002.001.07)</w:t>
      </w:r>
    </w:p>
    <w:p w14:paraId="337C0373" w14:textId="77777777" w:rsidR="00946697" w:rsidRDefault="00000000">
      <w:pPr>
        <w:numPr>
          <w:ilvl w:val="0"/>
          <w:numId w:val="6"/>
        </w:numPr>
      </w:pPr>
      <w:proofErr w:type="spellStart"/>
      <w:r>
        <w:t>SaleToPOIReportResponse</w:t>
      </w:r>
      <w:proofErr w:type="spellEnd"/>
      <w:r>
        <w:t xml:space="preserve"> V07 (casp.010.001.07)</w:t>
      </w:r>
    </w:p>
    <w:p w14:paraId="379D2D84" w14:textId="77777777" w:rsidR="00946697" w:rsidRDefault="00000000">
      <w:pPr>
        <w:numPr>
          <w:ilvl w:val="0"/>
          <w:numId w:val="6"/>
        </w:numPr>
      </w:pPr>
      <w:proofErr w:type="spellStart"/>
      <w:r>
        <w:t>SaleToPOIMessageStatusResponse</w:t>
      </w:r>
      <w:proofErr w:type="spellEnd"/>
      <w:r>
        <w:t xml:space="preserve"> V07 (casp.015.001.07)</w:t>
      </w:r>
    </w:p>
    <w:p w14:paraId="23E7F985" w14:textId="77777777" w:rsidR="00946697" w:rsidRDefault="00946697">
      <w:pPr>
        <w:rPr>
          <w:szCs w:val="24"/>
          <w:lang w:val="en-GB"/>
        </w:rPr>
      </w:pPr>
    </w:p>
    <w:p w14:paraId="155C319F" w14:textId="77777777" w:rsidR="00946697" w:rsidRDefault="00000000">
      <w:pPr>
        <w:numPr>
          <w:ilvl w:val="0"/>
          <w:numId w:val="4"/>
        </w:numPr>
        <w:rPr>
          <w:lang w:val="en-GB"/>
        </w:rPr>
      </w:pPr>
      <w:r>
        <w:rPr>
          <w:b/>
          <w:lang w:val="en-GB"/>
        </w:rPr>
        <w:t>Description of the change request:</w:t>
      </w:r>
    </w:p>
    <w:p w14:paraId="0CE84D1F" w14:textId="77777777" w:rsidR="00946697" w:rsidRDefault="00946697">
      <w:pPr>
        <w:rPr>
          <w:lang w:val="en-GB"/>
        </w:rPr>
      </w:pPr>
    </w:p>
    <w:p w14:paraId="46E3661E" w14:textId="77777777" w:rsidR="00946697" w:rsidRDefault="00000000">
      <w:pPr>
        <w:jc w:val="both"/>
        <w:rPr>
          <w:lang w:val="en-GB"/>
        </w:rPr>
      </w:pPr>
      <w:r>
        <w:rPr>
          <w:szCs w:val="24"/>
          <w:lang w:val="en-GB"/>
        </w:rPr>
        <w:t xml:space="preserve">We want to update </w:t>
      </w:r>
      <w:r>
        <w:rPr>
          <w:i/>
          <w:iCs/>
          <w:szCs w:val="24"/>
          <w:lang w:val="en-GB"/>
        </w:rPr>
        <w:t xml:space="preserve">PartyType3Code </w:t>
      </w:r>
      <w:r>
        <w:rPr>
          <w:szCs w:val="24"/>
          <w:lang w:val="en-GB"/>
        </w:rPr>
        <w:t xml:space="preserve">to identify </w:t>
      </w:r>
      <w:proofErr w:type="spellStart"/>
      <w:r>
        <w:rPr>
          <w:i/>
          <w:iCs/>
          <w:szCs w:val="24"/>
          <w:lang w:val="en-GB"/>
        </w:rPr>
        <w:t>PaymentFacilitator</w:t>
      </w:r>
      <w:proofErr w:type="spellEnd"/>
      <w:r>
        <w:rPr>
          <w:i/>
          <w:iCs/>
          <w:szCs w:val="24"/>
          <w:lang w:val="en-GB"/>
        </w:rPr>
        <w:t xml:space="preserve"> </w:t>
      </w:r>
      <w:r>
        <w:rPr>
          <w:szCs w:val="24"/>
          <w:lang w:val="en-GB"/>
        </w:rPr>
        <w:t xml:space="preserve">or </w:t>
      </w:r>
      <w:proofErr w:type="spellStart"/>
      <w:r>
        <w:rPr>
          <w:i/>
          <w:iCs/>
          <w:szCs w:val="24"/>
          <w:lang w:val="en-GB"/>
        </w:rPr>
        <w:t>MarketPlace</w:t>
      </w:r>
      <w:proofErr w:type="spellEnd"/>
      <w:r>
        <w:rPr>
          <w:i/>
          <w:iCs/>
          <w:szCs w:val="24"/>
          <w:lang w:val="en-GB"/>
        </w:rPr>
        <w:t xml:space="preserve"> </w:t>
      </w:r>
      <w:r>
        <w:rPr>
          <w:szCs w:val="24"/>
          <w:lang w:val="en-GB"/>
        </w:rPr>
        <w:t xml:space="preserve">from </w:t>
      </w:r>
      <w:r>
        <w:rPr>
          <w:i/>
          <w:iCs/>
          <w:szCs w:val="24"/>
          <w:lang w:val="en-GB"/>
        </w:rPr>
        <w:t xml:space="preserve">Merchant. </w:t>
      </w:r>
      <w:r>
        <w:rPr>
          <w:szCs w:val="24"/>
          <w:lang w:val="en-GB"/>
        </w:rPr>
        <w:t>This distinction is important sometimes for clearing, but this information comes from the accepting device.</w:t>
      </w:r>
    </w:p>
    <w:p w14:paraId="1CD16E28" w14:textId="77777777" w:rsidR="00946697" w:rsidRDefault="00946697">
      <w:pPr>
        <w:rPr>
          <w:lang w:val="en-GB"/>
        </w:rPr>
      </w:pPr>
    </w:p>
    <w:p w14:paraId="297BC588" w14:textId="77777777" w:rsidR="00946697" w:rsidRDefault="00000000">
      <w:pPr>
        <w:rPr>
          <w:lang w:val="en-GB"/>
        </w:rPr>
      </w:pPr>
      <w:r>
        <w:rPr>
          <w:noProof/>
          <w:lang w:val="en-GB"/>
        </w:rPr>
        <w:lastRenderedPageBreak/>
        <w:drawing>
          <wp:inline distT="0" distB="0" distL="0" distR="0" wp14:anchorId="30116C28" wp14:editId="276F11AD">
            <wp:extent cx="5699125" cy="4774565"/>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9"/>
                    <a:stretch>
                      <a:fillRect/>
                    </a:stretch>
                  </pic:blipFill>
                  <pic:spPr bwMode="auto">
                    <a:xfrm>
                      <a:off x="0" y="0"/>
                      <a:ext cx="5699125" cy="4774565"/>
                    </a:xfrm>
                    <a:prstGeom prst="rect">
                      <a:avLst/>
                    </a:prstGeom>
                  </pic:spPr>
                </pic:pic>
              </a:graphicData>
            </a:graphic>
          </wp:inline>
        </w:drawing>
      </w:r>
    </w:p>
    <w:p w14:paraId="0C55B373" w14:textId="77777777" w:rsidR="00946697" w:rsidRDefault="00946697">
      <w:pPr>
        <w:rPr>
          <w:lang w:val="en-GB"/>
        </w:rPr>
      </w:pPr>
    </w:p>
    <w:p w14:paraId="4ED1E95D" w14:textId="77777777" w:rsidR="00946697" w:rsidRDefault="00000000">
      <w:pPr>
        <w:numPr>
          <w:ilvl w:val="0"/>
          <w:numId w:val="4"/>
        </w:numPr>
        <w:rPr>
          <w:b/>
          <w:szCs w:val="24"/>
          <w:lang w:val="en-GB"/>
        </w:rPr>
      </w:pPr>
      <w:r>
        <w:rPr>
          <w:b/>
          <w:szCs w:val="24"/>
          <w:lang w:val="en-GB"/>
        </w:rPr>
        <w:t>Purpose of the change:</w:t>
      </w:r>
    </w:p>
    <w:p w14:paraId="65F28387" w14:textId="77777777" w:rsidR="00946697" w:rsidRDefault="00946697">
      <w:pPr>
        <w:rPr>
          <w:lang w:val="en-GB"/>
        </w:rPr>
      </w:pPr>
    </w:p>
    <w:p w14:paraId="23ACBDB8" w14:textId="77777777" w:rsidR="00946697" w:rsidRDefault="00000000">
      <w:pPr>
        <w:jc w:val="both"/>
        <w:rPr>
          <w:lang w:val="en-GB"/>
        </w:rPr>
      </w:pPr>
      <w:r>
        <w:t xml:space="preserve">An Acquirer processing a transaction triggered by a </w:t>
      </w:r>
      <w:proofErr w:type="spellStart"/>
      <w:r>
        <w:t>MarketPlace</w:t>
      </w:r>
      <w:proofErr w:type="spellEnd"/>
      <w:r>
        <w:t xml:space="preserve"> on behalf of a merchant must indicate, in clearing messages, when merchant country is not the same as </w:t>
      </w:r>
      <w:proofErr w:type="spellStart"/>
      <w:r>
        <w:t>MarketPlace</w:t>
      </w:r>
      <w:proofErr w:type="spellEnd"/>
      <w:r>
        <w:t xml:space="preserve"> country. </w:t>
      </w:r>
      <w:proofErr w:type="gramStart"/>
      <w:r>
        <w:t>As a consequence</w:t>
      </w:r>
      <w:proofErr w:type="gramEnd"/>
      <w:r>
        <w:t>, this information must come from the Acceptor messages sent to the Acquirer.</w:t>
      </w:r>
    </w:p>
    <w:p w14:paraId="34F6EFFF" w14:textId="77777777" w:rsidR="00946697" w:rsidRDefault="00000000">
      <w:pPr>
        <w:jc w:val="both"/>
        <w:rPr>
          <w:lang w:val="en-GB"/>
        </w:rPr>
      </w:pPr>
      <w:r>
        <w:t xml:space="preserve">The current model provides information of </w:t>
      </w:r>
      <w:proofErr w:type="spellStart"/>
      <w:r>
        <w:t>SponsoredMerchant</w:t>
      </w:r>
      <w:proofErr w:type="spellEnd"/>
      <w:r>
        <w:t xml:space="preserve"> and specifically its </w:t>
      </w:r>
      <w:proofErr w:type="spellStart"/>
      <w:r>
        <w:t>CountryCode</w:t>
      </w:r>
      <w:proofErr w:type="spellEnd"/>
      <w:r>
        <w:t xml:space="preserve">. Consequently, it is important to distinguish traditional Merchant from </w:t>
      </w:r>
      <w:proofErr w:type="spellStart"/>
      <w:r>
        <w:t>MarketPlace</w:t>
      </w:r>
      <w:proofErr w:type="spellEnd"/>
      <w:r>
        <w:t xml:space="preserve"> and </w:t>
      </w:r>
      <w:proofErr w:type="spellStart"/>
      <w:r>
        <w:t>PaymentFacilitator</w:t>
      </w:r>
      <w:proofErr w:type="spellEnd"/>
      <w:r>
        <w:t>.</w:t>
      </w:r>
    </w:p>
    <w:p w14:paraId="0061CD4D" w14:textId="77777777" w:rsidR="00946697" w:rsidRDefault="00000000">
      <w:pPr>
        <w:jc w:val="both"/>
        <w:rPr>
          <w:lang w:val="en-GB"/>
        </w:rPr>
      </w:pPr>
      <w:r>
        <w:t xml:space="preserve">The aim of this Change Request is to do this by enhancing the </w:t>
      </w:r>
      <w:proofErr w:type="spellStart"/>
      <w:r>
        <w:t>PartyType</w:t>
      </w:r>
      <w:proofErr w:type="spellEnd"/>
      <w:r>
        <w:t xml:space="preserve"> </w:t>
      </w:r>
      <w:proofErr w:type="spellStart"/>
      <w:r>
        <w:t>codeset</w:t>
      </w:r>
      <w:proofErr w:type="spellEnd"/>
      <w:r>
        <w:t>.</w:t>
      </w:r>
    </w:p>
    <w:p w14:paraId="430DB746" w14:textId="77777777" w:rsidR="00946697" w:rsidRDefault="00946697">
      <w:pPr>
        <w:rPr>
          <w:lang w:val="en-GB"/>
        </w:rPr>
      </w:pPr>
    </w:p>
    <w:p w14:paraId="003CCA08" w14:textId="77777777" w:rsidR="00946697" w:rsidRDefault="00000000">
      <w:pPr>
        <w:rPr>
          <w:lang w:val="en-GB"/>
        </w:rPr>
      </w:pPr>
      <w:r>
        <w:br w:type="page"/>
      </w:r>
    </w:p>
    <w:p w14:paraId="371F4F5A" w14:textId="77777777" w:rsidR="00946697" w:rsidRDefault="00946697">
      <w:pPr>
        <w:rPr>
          <w:lang w:val="en-GB"/>
        </w:rPr>
      </w:pPr>
    </w:p>
    <w:p w14:paraId="4733FD3F" w14:textId="77777777" w:rsidR="00946697" w:rsidRDefault="00000000">
      <w:pPr>
        <w:numPr>
          <w:ilvl w:val="0"/>
          <w:numId w:val="4"/>
        </w:numPr>
        <w:rPr>
          <w:b/>
          <w:szCs w:val="24"/>
          <w:lang w:val="en-GB"/>
        </w:rPr>
      </w:pPr>
      <w:r>
        <w:rPr>
          <w:b/>
          <w:szCs w:val="24"/>
          <w:lang w:val="en-GB"/>
        </w:rPr>
        <w:t>Urgency of the request:</w:t>
      </w:r>
    </w:p>
    <w:p w14:paraId="3087420A" w14:textId="77777777" w:rsidR="00946697" w:rsidRDefault="00946697">
      <w:pPr>
        <w:rPr>
          <w:szCs w:val="24"/>
          <w:lang w:val="en-GB"/>
        </w:rPr>
      </w:pPr>
    </w:p>
    <w:p w14:paraId="4FFD3F8A" w14:textId="77777777" w:rsidR="00946697" w:rsidRDefault="00000000">
      <w:pPr>
        <w:rPr>
          <w:szCs w:val="24"/>
          <w:lang w:val="en-GB"/>
        </w:rPr>
      </w:pPr>
      <w:r>
        <w:rPr>
          <w:szCs w:val="24"/>
          <w:lang w:val="en-GB"/>
        </w:rPr>
        <w:t>Urgent.</w:t>
      </w:r>
    </w:p>
    <w:p w14:paraId="417B7D08" w14:textId="77777777" w:rsidR="00946697" w:rsidRDefault="00946697">
      <w:pPr>
        <w:rPr>
          <w:i/>
          <w:szCs w:val="24"/>
          <w:lang w:val="en-GB"/>
        </w:rPr>
      </w:pPr>
    </w:p>
    <w:p w14:paraId="397864F6" w14:textId="77777777" w:rsidR="00946697" w:rsidRDefault="00000000">
      <w:pPr>
        <w:numPr>
          <w:ilvl w:val="0"/>
          <w:numId w:val="4"/>
        </w:numPr>
        <w:rPr>
          <w:szCs w:val="24"/>
          <w:lang w:val="en-GB"/>
        </w:rPr>
      </w:pPr>
      <w:r>
        <w:rPr>
          <w:b/>
          <w:szCs w:val="24"/>
          <w:lang w:val="en-GB"/>
        </w:rPr>
        <w:t>Business examples:</w:t>
      </w:r>
    </w:p>
    <w:p w14:paraId="5AC60F07" w14:textId="77777777" w:rsidR="00946697" w:rsidRDefault="00000000">
      <w:pPr>
        <w:rPr>
          <w:lang w:val="en-GB"/>
        </w:rPr>
      </w:pPr>
      <w:r>
        <w:rPr>
          <w:lang w:val="en-GB"/>
        </w:rPr>
        <w:t>Examples illustrating the change request.</w:t>
      </w:r>
    </w:p>
    <w:p w14:paraId="7B3B5B54" w14:textId="77777777" w:rsidR="00946697" w:rsidRDefault="00000000">
      <w:pPr>
        <w:numPr>
          <w:ilvl w:val="0"/>
          <w:numId w:val="4"/>
        </w:numPr>
        <w:rPr>
          <w:b/>
          <w:lang w:val="en-GB"/>
        </w:rPr>
      </w:pPr>
      <w:r>
        <w:rPr>
          <w:b/>
          <w:lang w:val="en-GB"/>
        </w:rPr>
        <w:t>SEG/TSG recommendation:</w:t>
      </w:r>
    </w:p>
    <w:p w14:paraId="2F2B92EA" w14:textId="77777777" w:rsidR="00946697" w:rsidRDefault="00000000">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35AFD5FA" w14:textId="77777777" w:rsidR="00946697" w:rsidRDefault="00946697">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946697" w14:paraId="6E39ADA0"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35B0AFC9" w14:textId="77777777" w:rsidR="00946697" w:rsidRDefault="00000000">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5654954C" w14:textId="77777777" w:rsidR="00946697" w:rsidRDefault="00946697">
            <w:pPr>
              <w:widowControl w:val="0"/>
              <w:rPr>
                <w:color w:val="FF0000"/>
                <w:szCs w:val="24"/>
                <w:lang w:val="en-GB"/>
              </w:rPr>
            </w:pPr>
          </w:p>
        </w:tc>
        <w:tc>
          <w:tcPr>
            <w:tcW w:w="1700" w:type="dxa"/>
            <w:tcBorders>
              <w:top w:val="single" w:sz="4" w:space="0" w:color="000000"/>
              <w:left w:val="single" w:sz="4" w:space="0" w:color="000000"/>
              <w:bottom w:val="single" w:sz="4" w:space="0" w:color="000000"/>
              <w:right w:val="single" w:sz="4" w:space="0" w:color="000000"/>
            </w:tcBorders>
          </w:tcPr>
          <w:p w14:paraId="05F0784D" w14:textId="77777777" w:rsidR="00946697" w:rsidRDefault="00000000">
            <w:pPr>
              <w:widowControl w:val="0"/>
              <w:rPr>
                <w:b/>
                <w:szCs w:val="24"/>
                <w:lang w:val="en-GB"/>
              </w:rPr>
            </w:pPr>
            <w:r>
              <w:rPr>
                <w:b/>
                <w:szCs w:val="24"/>
                <w:lang w:val="en-GB"/>
              </w:rPr>
              <w:t>Timing</w:t>
            </w:r>
          </w:p>
        </w:tc>
        <w:tc>
          <w:tcPr>
            <w:tcW w:w="4254" w:type="dxa"/>
          </w:tcPr>
          <w:p w14:paraId="7543E6D4" w14:textId="77777777" w:rsidR="00946697" w:rsidRDefault="00946697">
            <w:pPr>
              <w:widowControl w:val="0"/>
            </w:pPr>
          </w:p>
        </w:tc>
        <w:tc>
          <w:tcPr>
            <w:tcW w:w="424" w:type="dxa"/>
          </w:tcPr>
          <w:p w14:paraId="48FB5072" w14:textId="77777777" w:rsidR="00946697" w:rsidRDefault="00946697">
            <w:pPr>
              <w:widowControl w:val="0"/>
            </w:pPr>
          </w:p>
        </w:tc>
        <w:tc>
          <w:tcPr>
            <w:tcW w:w="945" w:type="dxa"/>
          </w:tcPr>
          <w:p w14:paraId="6C4A01F3" w14:textId="77777777" w:rsidR="00946697" w:rsidRDefault="00946697">
            <w:pPr>
              <w:widowControl w:val="0"/>
            </w:pPr>
          </w:p>
        </w:tc>
      </w:tr>
      <w:tr w:rsidR="00946697" w14:paraId="402C383E" w14:textId="77777777">
        <w:trPr>
          <w:trHeight w:val="501"/>
        </w:trPr>
        <w:tc>
          <w:tcPr>
            <w:tcW w:w="1059" w:type="dxa"/>
          </w:tcPr>
          <w:p w14:paraId="35C6D820" w14:textId="77777777" w:rsidR="00946697" w:rsidRDefault="00946697">
            <w:pPr>
              <w:widowControl w:val="0"/>
              <w:rPr>
                <w:szCs w:val="24"/>
                <w:lang w:val="en-GB"/>
              </w:rPr>
            </w:pPr>
          </w:p>
        </w:tc>
        <w:tc>
          <w:tcPr>
            <w:tcW w:w="750" w:type="dxa"/>
            <w:gridSpan w:val="2"/>
            <w:tcBorders>
              <w:top w:val="single" w:sz="4" w:space="0" w:color="000000"/>
              <w:right w:val="single" w:sz="4" w:space="0" w:color="000000"/>
            </w:tcBorders>
          </w:tcPr>
          <w:p w14:paraId="285E06FD" w14:textId="77777777" w:rsidR="00946697" w:rsidRDefault="00946697">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A3ED6B3" w14:textId="77777777" w:rsidR="00946697" w:rsidRDefault="00000000">
            <w:pPr>
              <w:widowControl w:val="0"/>
              <w:spacing w:before="0"/>
              <w:rPr>
                <w:szCs w:val="24"/>
                <w:lang w:val="en-GB"/>
              </w:rPr>
            </w:pPr>
            <w:r>
              <w:rPr>
                <w:szCs w:val="24"/>
                <w:lang w:val="en-GB"/>
              </w:rPr>
              <w:t xml:space="preserve">- </w:t>
            </w:r>
            <w:r>
              <w:rPr>
                <w:b/>
                <w:szCs w:val="24"/>
                <w:lang w:val="en-GB"/>
              </w:rPr>
              <w:t>Next yearly cycle: 2025/2026</w:t>
            </w:r>
          </w:p>
          <w:p w14:paraId="17BF731C" w14:textId="77777777" w:rsidR="00946697" w:rsidRDefault="00000000">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26AFCA19" w14:textId="77777777" w:rsidR="00946697" w:rsidRDefault="00946697">
            <w:pPr>
              <w:widowControl w:val="0"/>
              <w:spacing w:before="0"/>
              <w:jc w:val="both"/>
              <w:rPr>
                <w:color w:val="FF0000"/>
                <w:szCs w:val="24"/>
                <w:lang w:val="en-GB"/>
              </w:rPr>
            </w:pPr>
          </w:p>
        </w:tc>
        <w:tc>
          <w:tcPr>
            <w:tcW w:w="945" w:type="dxa"/>
          </w:tcPr>
          <w:p w14:paraId="40E8DB27" w14:textId="77777777" w:rsidR="00946697" w:rsidRDefault="00946697">
            <w:pPr>
              <w:widowControl w:val="0"/>
            </w:pPr>
          </w:p>
        </w:tc>
      </w:tr>
      <w:tr w:rsidR="00946697" w14:paraId="4A771891" w14:textId="77777777">
        <w:trPr>
          <w:trHeight w:val="501"/>
        </w:trPr>
        <w:tc>
          <w:tcPr>
            <w:tcW w:w="1059" w:type="dxa"/>
          </w:tcPr>
          <w:p w14:paraId="7B766A87" w14:textId="77777777" w:rsidR="00946697" w:rsidRDefault="00946697">
            <w:pPr>
              <w:widowControl w:val="0"/>
              <w:spacing w:before="0"/>
              <w:rPr>
                <w:szCs w:val="24"/>
                <w:lang w:val="en-GB"/>
              </w:rPr>
            </w:pPr>
          </w:p>
        </w:tc>
        <w:tc>
          <w:tcPr>
            <w:tcW w:w="750" w:type="dxa"/>
            <w:gridSpan w:val="2"/>
            <w:tcBorders>
              <w:right w:val="single" w:sz="4" w:space="0" w:color="000000"/>
            </w:tcBorders>
          </w:tcPr>
          <w:p w14:paraId="08E1AC3E" w14:textId="77777777" w:rsidR="00946697" w:rsidRDefault="00946697">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549968EA" w14:textId="77777777" w:rsidR="00946697" w:rsidRDefault="00000000">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1C5AC129" w14:textId="77777777" w:rsidR="00946697" w:rsidRDefault="00000000">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60B107CD" w14:textId="77777777" w:rsidR="00946697" w:rsidRDefault="00946697">
            <w:pPr>
              <w:widowControl w:val="0"/>
              <w:spacing w:before="0"/>
              <w:jc w:val="center"/>
              <w:rPr>
                <w:color w:val="FF0000"/>
                <w:szCs w:val="24"/>
                <w:lang w:val="en-GB"/>
              </w:rPr>
            </w:pPr>
          </w:p>
        </w:tc>
        <w:tc>
          <w:tcPr>
            <w:tcW w:w="945" w:type="dxa"/>
          </w:tcPr>
          <w:p w14:paraId="02852F60" w14:textId="77777777" w:rsidR="00946697" w:rsidRDefault="00946697">
            <w:pPr>
              <w:widowControl w:val="0"/>
            </w:pPr>
          </w:p>
        </w:tc>
      </w:tr>
      <w:tr w:rsidR="00946697" w14:paraId="7764454A" w14:textId="77777777">
        <w:trPr>
          <w:trHeight w:val="511"/>
        </w:trPr>
        <w:tc>
          <w:tcPr>
            <w:tcW w:w="1059" w:type="dxa"/>
          </w:tcPr>
          <w:p w14:paraId="55F65056" w14:textId="77777777" w:rsidR="00946697" w:rsidRDefault="00946697">
            <w:pPr>
              <w:widowControl w:val="0"/>
              <w:spacing w:before="0"/>
              <w:rPr>
                <w:szCs w:val="24"/>
                <w:lang w:val="en-GB"/>
              </w:rPr>
            </w:pPr>
          </w:p>
        </w:tc>
        <w:tc>
          <w:tcPr>
            <w:tcW w:w="750" w:type="dxa"/>
            <w:gridSpan w:val="2"/>
            <w:tcBorders>
              <w:right w:val="single" w:sz="4" w:space="0" w:color="000000"/>
            </w:tcBorders>
          </w:tcPr>
          <w:p w14:paraId="6574E608" w14:textId="77777777" w:rsidR="00946697" w:rsidRDefault="00946697">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50A9A53C" w14:textId="77777777" w:rsidR="00946697" w:rsidRDefault="00000000">
            <w:pPr>
              <w:widowControl w:val="0"/>
              <w:spacing w:before="0"/>
              <w:jc w:val="both"/>
              <w:rPr>
                <w:szCs w:val="24"/>
                <w:lang w:val="en-GB"/>
              </w:rPr>
            </w:pPr>
            <w:r>
              <w:rPr>
                <w:szCs w:val="24"/>
                <w:lang w:val="en-GB"/>
              </w:rPr>
              <w:t xml:space="preserve">- </w:t>
            </w:r>
            <w:r>
              <w:rPr>
                <w:b/>
                <w:szCs w:val="24"/>
                <w:lang w:val="en-GB"/>
              </w:rPr>
              <w:t>Urgent unscheduled</w:t>
            </w:r>
          </w:p>
          <w:p w14:paraId="1734D0F5" w14:textId="77777777" w:rsidR="00946697" w:rsidRDefault="00000000">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6040F888" w14:textId="77777777" w:rsidR="00946697" w:rsidRDefault="00946697">
            <w:pPr>
              <w:widowControl w:val="0"/>
              <w:jc w:val="center"/>
              <w:rPr>
                <w:color w:val="FF0000"/>
                <w:szCs w:val="24"/>
                <w:lang w:val="en-GB"/>
              </w:rPr>
            </w:pPr>
          </w:p>
        </w:tc>
        <w:tc>
          <w:tcPr>
            <w:tcW w:w="945" w:type="dxa"/>
            <w:tcBorders>
              <w:left w:val="single" w:sz="4" w:space="0" w:color="000000"/>
            </w:tcBorders>
          </w:tcPr>
          <w:p w14:paraId="378B55B8" w14:textId="77777777" w:rsidR="00946697" w:rsidRDefault="00946697">
            <w:pPr>
              <w:widowControl w:val="0"/>
              <w:ind w:left="360"/>
              <w:jc w:val="both"/>
              <w:rPr>
                <w:szCs w:val="24"/>
                <w:lang w:val="en-GB"/>
              </w:rPr>
            </w:pPr>
          </w:p>
        </w:tc>
      </w:tr>
      <w:tr w:rsidR="00946697" w14:paraId="57D56BC6" w14:textId="77777777">
        <w:trPr>
          <w:trHeight w:val="511"/>
        </w:trPr>
        <w:tc>
          <w:tcPr>
            <w:tcW w:w="1059" w:type="dxa"/>
          </w:tcPr>
          <w:p w14:paraId="5CC312BB" w14:textId="77777777" w:rsidR="00946697" w:rsidRDefault="00946697">
            <w:pPr>
              <w:widowControl w:val="0"/>
              <w:spacing w:before="0"/>
              <w:rPr>
                <w:szCs w:val="24"/>
                <w:lang w:val="en-GB"/>
              </w:rPr>
            </w:pPr>
          </w:p>
        </w:tc>
        <w:tc>
          <w:tcPr>
            <w:tcW w:w="750" w:type="dxa"/>
            <w:gridSpan w:val="2"/>
            <w:tcBorders>
              <w:right w:val="single" w:sz="4" w:space="0" w:color="000000"/>
            </w:tcBorders>
          </w:tcPr>
          <w:p w14:paraId="42B26AAC" w14:textId="77777777" w:rsidR="00946697" w:rsidRDefault="00946697">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51B3210D" w14:textId="77777777" w:rsidR="00946697" w:rsidRDefault="00000000">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6007BE05" w14:textId="77777777" w:rsidR="00946697" w:rsidRDefault="00946697">
            <w:pPr>
              <w:widowControl w:val="0"/>
              <w:ind w:left="360"/>
              <w:jc w:val="both"/>
              <w:rPr>
                <w:szCs w:val="24"/>
                <w:lang w:val="en-GB"/>
              </w:rPr>
            </w:pPr>
          </w:p>
          <w:p w14:paraId="2411BEE7" w14:textId="77777777" w:rsidR="00946697" w:rsidRDefault="00946697">
            <w:pPr>
              <w:widowControl w:val="0"/>
              <w:ind w:left="360"/>
              <w:jc w:val="both"/>
              <w:rPr>
                <w:szCs w:val="24"/>
                <w:lang w:val="en-GB"/>
              </w:rPr>
            </w:pPr>
          </w:p>
        </w:tc>
      </w:tr>
    </w:tbl>
    <w:p w14:paraId="31946C30" w14:textId="77777777" w:rsidR="00946697" w:rsidRDefault="00000000">
      <w:pPr>
        <w:rPr>
          <w:szCs w:val="24"/>
          <w:lang w:val="en-GB"/>
        </w:rPr>
      </w:pPr>
      <w:r>
        <w:rPr>
          <w:szCs w:val="24"/>
          <w:lang w:val="en-GB"/>
        </w:rPr>
        <w:t>Comments:</w:t>
      </w:r>
    </w:p>
    <w:p w14:paraId="26073E70" w14:textId="77777777" w:rsidR="00946697" w:rsidRDefault="00946697">
      <w:pPr>
        <w:rPr>
          <w:szCs w:val="24"/>
          <w:lang w:val="en-GB"/>
        </w:rPr>
      </w:pPr>
    </w:p>
    <w:p w14:paraId="7EF30FB9" w14:textId="77777777" w:rsidR="00946697" w:rsidRDefault="00946697">
      <w:pPr>
        <w:rPr>
          <w:szCs w:val="24"/>
          <w:lang w:val="en-GB"/>
        </w:rPr>
      </w:pPr>
    </w:p>
    <w:tbl>
      <w:tblPr>
        <w:tblW w:w="1809" w:type="dxa"/>
        <w:tblLayout w:type="fixed"/>
        <w:tblLook w:val="01E0" w:firstRow="1" w:lastRow="1" w:firstColumn="1" w:lastColumn="1" w:noHBand="0" w:noVBand="0"/>
      </w:tblPr>
      <w:tblGrid>
        <w:gridCol w:w="1243"/>
        <w:gridCol w:w="566"/>
      </w:tblGrid>
      <w:tr w:rsidR="00946697" w14:paraId="4032AAFE" w14:textId="77777777">
        <w:tc>
          <w:tcPr>
            <w:tcW w:w="1242" w:type="dxa"/>
            <w:tcBorders>
              <w:top w:val="single" w:sz="4" w:space="0" w:color="000000"/>
              <w:left w:val="single" w:sz="4" w:space="0" w:color="000000"/>
              <w:bottom w:val="single" w:sz="4" w:space="0" w:color="000000"/>
              <w:right w:val="single" w:sz="4" w:space="0" w:color="000000"/>
            </w:tcBorders>
          </w:tcPr>
          <w:p w14:paraId="4DAF1F85" w14:textId="77777777" w:rsidR="00946697" w:rsidRDefault="00000000">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52592022" w14:textId="77777777" w:rsidR="00946697" w:rsidRDefault="00946697">
            <w:pPr>
              <w:widowControl w:val="0"/>
              <w:rPr>
                <w:color w:val="FF0000"/>
                <w:szCs w:val="24"/>
                <w:lang w:val="en-GB"/>
              </w:rPr>
            </w:pPr>
          </w:p>
        </w:tc>
      </w:tr>
    </w:tbl>
    <w:p w14:paraId="72D6A8AA" w14:textId="77777777" w:rsidR="00946697" w:rsidRDefault="00000000">
      <w:pPr>
        <w:rPr>
          <w:szCs w:val="24"/>
          <w:lang w:val="en-GB"/>
        </w:rPr>
      </w:pPr>
      <w:r>
        <w:rPr>
          <w:szCs w:val="24"/>
          <w:lang w:val="en-GB"/>
        </w:rPr>
        <w:t>Reason for rejection:</w:t>
      </w:r>
    </w:p>
    <w:sectPr w:rsidR="00946697">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563D" w14:textId="77777777" w:rsidR="004C6169" w:rsidRDefault="004C6169">
      <w:pPr>
        <w:spacing w:before="0"/>
      </w:pPr>
      <w:r>
        <w:separator/>
      </w:r>
    </w:p>
  </w:endnote>
  <w:endnote w:type="continuationSeparator" w:id="0">
    <w:p w14:paraId="76E92668" w14:textId="77777777" w:rsidR="004C6169" w:rsidRDefault="004C61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C1EC" w14:textId="77777777" w:rsidR="00946697" w:rsidRDefault="00946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9932" w14:textId="2DAAA20E" w:rsidR="00946697" w:rsidRDefault="00000000">
    <w:pPr>
      <w:pStyle w:val="Footer"/>
      <w:rPr>
        <w:rStyle w:val="PageNumber"/>
      </w:rPr>
    </w:pPr>
    <w:r>
      <w:fldChar w:fldCharType="begin"/>
    </w:r>
    <w:r>
      <w:instrText xml:space="preserve"> FILENAME </w:instrText>
    </w:r>
    <w:r>
      <w:fldChar w:fldCharType="separate"/>
    </w:r>
    <w:r w:rsidR="00DD4272">
      <w:rPr>
        <w:noProof/>
      </w:rPr>
      <w:t>CR1483_nexo_acqforeigntransactionformarketplace_v1</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349DE403" w14:textId="77777777" w:rsidR="00946697" w:rsidRDefault="00946697">
    <w:pPr>
      <w:pStyle w:val="Footer"/>
      <w:rPr>
        <w:rStyle w:val="PageNumber"/>
      </w:rPr>
    </w:pPr>
  </w:p>
  <w:p w14:paraId="2841208E" w14:textId="77777777" w:rsidR="00946697" w:rsidRDefault="0094669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BE28" w14:textId="77777777" w:rsidR="00946697" w:rsidRDefault="00000000">
    <w:pPr>
      <w:pStyle w:val="Footer"/>
      <w:rPr>
        <w:rStyle w:val="PageNumber"/>
      </w:rPr>
    </w:pPr>
    <w:r>
      <w:fldChar w:fldCharType="begin"/>
    </w:r>
    <w:r>
      <w:instrText xml:space="preserve"> FILENAME </w:instrText>
    </w:r>
    <w:r>
      <w:fldChar w:fldCharType="separate"/>
    </w:r>
    <w:r>
      <w:t>CR_xxxx_Nexo_ACQForeignTransactionForMarketPlace.docx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5B9AEACF" w14:textId="77777777" w:rsidR="00946697" w:rsidRDefault="00946697">
    <w:pPr>
      <w:pStyle w:val="Footer"/>
      <w:rPr>
        <w:rStyle w:val="PageNumber"/>
      </w:rPr>
    </w:pPr>
  </w:p>
  <w:p w14:paraId="612EDECA" w14:textId="77777777" w:rsidR="00946697" w:rsidRDefault="0094669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22EA" w14:textId="77777777" w:rsidR="004C6169" w:rsidRDefault="004C6169">
      <w:pPr>
        <w:spacing w:before="0"/>
      </w:pPr>
      <w:r>
        <w:separator/>
      </w:r>
    </w:p>
  </w:footnote>
  <w:footnote w:type="continuationSeparator" w:id="0">
    <w:p w14:paraId="74E68E1F" w14:textId="77777777" w:rsidR="004C6169" w:rsidRDefault="004C616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FB81" w14:textId="77777777" w:rsidR="00946697" w:rsidRDefault="00946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5D1E" w14:textId="6E2F5E4C" w:rsidR="00946697" w:rsidRDefault="00000000">
    <w:pPr>
      <w:pStyle w:val="Header"/>
      <w:rPr>
        <w:lang w:val="fr-BE"/>
      </w:rPr>
    </w:pPr>
    <w:r>
      <w:rPr>
        <w:lang w:val="fr-BE"/>
      </w:rPr>
      <w:t xml:space="preserve">RA ID : </w:t>
    </w:r>
    <w:r w:rsidR="00DD4272">
      <w:rPr>
        <w:lang w:val="fr-BE"/>
      </w:rPr>
      <w:t>1483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0C4A" w14:textId="77777777" w:rsidR="00946697" w:rsidRDefault="00000000">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5692"/>
    <w:multiLevelType w:val="multilevel"/>
    <w:tmpl w:val="B2D045F2"/>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4CD6B5D"/>
    <w:multiLevelType w:val="multilevel"/>
    <w:tmpl w:val="4852C8DE"/>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83932FB"/>
    <w:multiLevelType w:val="multilevel"/>
    <w:tmpl w:val="FFB8E6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BA16179"/>
    <w:multiLevelType w:val="multilevel"/>
    <w:tmpl w:val="5E9C16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BF97096"/>
    <w:multiLevelType w:val="multilevel"/>
    <w:tmpl w:val="1A801E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7804765"/>
    <w:multiLevelType w:val="multilevel"/>
    <w:tmpl w:val="3CFE3536"/>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55D523FF"/>
    <w:multiLevelType w:val="multilevel"/>
    <w:tmpl w:val="2C760332"/>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55623231">
    <w:abstractNumId w:val="0"/>
  </w:num>
  <w:num w:numId="2" w16cid:durableId="1544754759">
    <w:abstractNumId w:val="1"/>
  </w:num>
  <w:num w:numId="3" w16cid:durableId="598638190">
    <w:abstractNumId w:val="6"/>
  </w:num>
  <w:num w:numId="4" w16cid:durableId="473376321">
    <w:abstractNumId w:val="5"/>
  </w:num>
  <w:num w:numId="5" w16cid:durableId="394276542">
    <w:abstractNumId w:val="3"/>
  </w:num>
  <w:num w:numId="6" w16cid:durableId="745613167">
    <w:abstractNumId w:val="4"/>
  </w:num>
  <w:num w:numId="7" w16cid:durableId="1358500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97"/>
    <w:rsid w:val="004C6169"/>
    <w:rsid w:val="005162E5"/>
    <w:rsid w:val="005654D6"/>
    <w:rsid w:val="00946697"/>
    <w:rsid w:val="00C20BFB"/>
    <w:rsid w:val="00DD427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D0F2"/>
  <w15:docId w15:val="{75466F6A-23C3-41EE-9C56-F6DEB050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kern w:val="2"/>
      <w:sz w:val="28"/>
    </w:rPr>
  </w:style>
  <w:style w:type="paragraph" w:styleId="Heading2">
    <w:name w:val="heading 2"/>
    <w:next w:val="Normal"/>
    <w:qFormat/>
    <w:pPr>
      <w:keepNext/>
      <w:spacing w:before="300" w:after="60"/>
      <w:ind w:left="630" w:hanging="630"/>
      <w:outlineLvl w:val="1"/>
    </w:pPr>
    <w:rPr>
      <w:rFonts w:ascii="Arial" w:hAnsi="Arial"/>
      <w:b/>
      <w:sz w:val="26"/>
    </w:rPr>
  </w:style>
  <w:style w:type="paragraph" w:styleId="Heading3">
    <w:name w:val="heading 3"/>
    <w:next w:val="Normal"/>
    <w:qFormat/>
    <w:pPr>
      <w:keepNext/>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rPr>
  </w:style>
  <w:style w:type="paragraph" w:styleId="ListNumber">
    <w:name w:val="List Number"/>
    <w:qFormat/>
    <w:pPr>
      <w:numPr>
        <w:numId w:val="3"/>
      </w:numPr>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hilippe.cece@nexo-standard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3</cp:revision>
  <cp:lastPrinted>2009-03-10T11:18:00Z</cp:lastPrinted>
  <dcterms:created xsi:type="dcterms:W3CDTF">2025-05-28T09:07:00Z</dcterms:created>
  <dcterms:modified xsi:type="dcterms:W3CDTF">2025-05-28T09:08:00Z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ies>
</file>