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7777777"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w:t>
      </w:r>
      <w:proofErr w:type="gramStart"/>
      <w:r>
        <w:rPr>
          <w:szCs w:val="24"/>
          <w:lang w:val="en-GB"/>
        </w:rPr>
        <w:t>initiative</w:t>
      </w:r>
      <w:proofErr w:type="gramEnd"/>
      <w:r>
        <w:rPr>
          <w:szCs w:val="24"/>
          <w:lang w:val="en-GB"/>
        </w:rPr>
        <w:t xml:space="preserve"> or community that submits the change request. </w:t>
      </w:r>
    </w:p>
    <w:p w14:paraId="622AD1E8" w14:textId="6D371141" w:rsidR="001653F7" w:rsidRPr="005A410C" w:rsidRDefault="001653F7" w:rsidP="008438AF">
      <w:pPr>
        <w:rPr>
          <w:color w:val="0070C0"/>
          <w:szCs w:val="24"/>
          <w:lang w:val="en-GB"/>
        </w:rPr>
      </w:pPr>
      <w:r w:rsidRPr="005A410C">
        <w:rPr>
          <w:color w:val="0070C0"/>
          <w:szCs w:val="24"/>
          <w:lang w:val="en-GB"/>
        </w:rPr>
        <w:t>Bank of England</w:t>
      </w: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14B1A6AF" w14:textId="2A94F228" w:rsidR="001653F7" w:rsidRPr="005A410C" w:rsidRDefault="001653F7" w:rsidP="008438AF">
      <w:pPr>
        <w:rPr>
          <w:color w:val="0070C0"/>
          <w:szCs w:val="24"/>
          <w:lang w:val="en-GB"/>
        </w:rPr>
      </w:pPr>
      <w:r w:rsidRPr="005A410C">
        <w:rPr>
          <w:color w:val="0070C0"/>
          <w:szCs w:val="24"/>
          <w:lang w:val="en-GB"/>
        </w:rPr>
        <w:t xml:space="preserve">John Aveson </w:t>
      </w:r>
      <w:hyperlink r:id="rId10" w:history="1">
        <w:r w:rsidRPr="005A410C">
          <w:rPr>
            <w:rStyle w:val="Hyperlink"/>
            <w:color w:val="0070C0"/>
            <w:szCs w:val="24"/>
            <w:lang w:val="en-GB"/>
          </w:rPr>
          <w:t>john.aveson@bankofengland.co.uk</w:t>
        </w:r>
      </w:hyperlink>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w:t>
      </w:r>
      <w:proofErr w:type="gramStart"/>
      <w:r w:rsidR="00E74C04" w:rsidRPr="00D84F87">
        <w:rPr>
          <w:szCs w:val="24"/>
          <w:lang w:val="en-GB"/>
        </w:rPr>
        <w:t>initiatives</w:t>
      </w:r>
      <w:proofErr w:type="gramEnd"/>
      <w:r w:rsidR="00E74C04" w:rsidRPr="00D84F87">
        <w:rPr>
          <w:szCs w:val="24"/>
          <w:lang w:val="en-GB"/>
        </w:rPr>
        <w:t xml:space="preserve"> or communities of users as possible, thus demonstrating as wide as possible a consultation of the relevant stakeholders. All organisations, groups, </w:t>
      </w:r>
      <w:proofErr w:type="gramStart"/>
      <w:r w:rsidR="00E74C04" w:rsidRPr="00D84F87">
        <w:rPr>
          <w:szCs w:val="24"/>
          <w:lang w:val="en-GB"/>
        </w:rPr>
        <w:t>initiatives</w:t>
      </w:r>
      <w:proofErr w:type="gramEnd"/>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4E0EA3FD" w:rsidR="00854FA6" w:rsidRDefault="00854FA6" w:rsidP="00854FA6">
      <w:pPr>
        <w:rPr>
          <w:szCs w:val="24"/>
          <w:lang w:val="en-GB"/>
        </w:rPr>
      </w:pPr>
      <w:r>
        <w:rPr>
          <w:szCs w:val="24"/>
          <w:lang w:val="en-GB"/>
        </w:rPr>
        <w:t>The submitter is invited to carefully examine whether the change may have an impact on other messages that come into play earlier or later in the transaction chain or on other messages that also use message components that this change request may impact.</w:t>
      </w:r>
    </w:p>
    <w:p w14:paraId="43B27537" w14:textId="17ABAE39" w:rsidR="005A410C" w:rsidRPr="005A410C" w:rsidRDefault="005A410C" w:rsidP="005A410C">
      <w:pPr>
        <w:rPr>
          <w:bCs/>
          <w:color w:val="0070C0"/>
          <w:lang w:val="en-GB"/>
        </w:rPr>
      </w:pPr>
      <w:r w:rsidRPr="005A410C">
        <w:rPr>
          <w:bCs/>
          <w:color w:val="0070C0"/>
          <w:lang w:val="en-GB"/>
        </w:rPr>
        <w:t>auth.0</w:t>
      </w:r>
      <w:r w:rsidR="00F70C4F">
        <w:rPr>
          <w:bCs/>
          <w:color w:val="0070C0"/>
          <w:lang w:val="en-GB"/>
        </w:rPr>
        <w:t>69</w:t>
      </w:r>
      <w:r w:rsidRPr="005A410C">
        <w:rPr>
          <w:bCs/>
          <w:color w:val="0070C0"/>
          <w:lang w:val="en-GB"/>
        </w:rPr>
        <w:t>.001.01</w:t>
      </w:r>
    </w:p>
    <w:p w14:paraId="3DF38BC3" w14:textId="10932958" w:rsidR="005A410C" w:rsidRDefault="00F70C4F" w:rsidP="005A410C">
      <w:pPr>
        <w:rPr>
          <w:bCs/>
          <w:color w:val="0070C0"/>
          <w:lang w:val="en-GB"/>
        </w:rPr>
      </w:pPr>
      <w:r>
        <w:rPr>
          <w:bCs/>
          <w:color w:val="0070C0"/>
          <w:lang w:val="en-GB"/>
        </w:rPr>
        <w:t>CCPClearedProductReportV01</w:t>
      </w:r>
    </w:p>
    <w:p w14:paraId="7A3CE6F9" w14:textId="4C73ED09" w:rsidR="003042B8" w:rsidRDefault="00F70C4F" w:rsidP="005A410C">
      <w:pPr>
        <w:rPr>
          <w:bCs/>
          <w:color w:val="0070C0"/>
          <w:lang w:val="en-GB"/>
        </w:rPr>
      </w:pPr>
      <w:r>
        <w:rPr>
          <w:bCs/>
          <w:color w:val="0070C0"/>
          <w:lang w:val="en-GB"/>
        </w:rPr>
        <w:t>(see also)</w:t>
      </w:r>
    </w:p>
    <w:p w14:paraId="7DAF6DEE" w14:textId="7D0F72BE" w:rsidR="003042B8" w:rsidRDefault="003042B8" w:rsidP="005A410C">
      <w:pPr>
        <w:rPr>
          <w:bCs/>
          <w:color w:val="0070C0"/>
          <w:lang w:val="en-GB"/>
        </w:rPr>
      </w:pPr>
      <w:r>
        <w:rPr>
          <w:bCs/>
          <w:color w:val="0070C0"/>
          <w:lang w:val="en-GB"/>
        </w:rPr>
        <w:t>auth.0</w:t>
      </w:r>
      <w:r w:rsidR="00F70C4F">
        <w:rPr>
          <w:bCs/>
          <w:color w:val="0070C0"/>
          <w:lang w:val="en-GB"/>
        </w:rPr>
        <w:t>68</w:t>
      </w:r>
      <w:r>
        <w:rPr>
          <w:bCs/>
          <w:color w:val="0070C0"/>
          <w:lang w:val="en-GB"/>
        </w:rPr>
        <w:t>.001.01</w:t>
      </w:r>
    </w:p>
    <w:p w14:paraId="74A15ABD" w14:textId="2BB98751" w:rsidR="003042B8" w:rsidRPr="005A410C" w:rsidRDefault="00F70C4F" w:rsidP="005A410C">
      <w:pPr>
        <w:rPr>
          <w:bCs/>
          <w:color w:val="0070C0"/>
          <w:lang w:val="en-GB"/>
        </w:rPr>
      </w:pPr>
      <w:r>
        <w:rPr>
          <w:bCs/>
          <w:color w:val="0070C0"/>
          <w:lang w:val="en-GB"/>
        </w:rPr>
        <w:t>CCPAccountPositionReportV01</w:t>
      </w: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lastRenderedPageBreak/>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3183B4F6" w14:textId="77777777" w:rsidR="005A410C" w:rsidRDefault="000408BA" w:rsidP="000408BA">
      <w:r>
        <w:t>Change requests may not lead to creation of new messages. In such cases, a 'business justification' for development of new candidate ISO 20022 messages must be introduced by a submitting organization that is ready to develop the new messages.</w:t>
      </w:r>
    </w:p>
    <w:p w14:paraId="5E64940D" w14:textId="48890226" w:rsidR="003042B8" w:rsidRPr="005A410C" w:rsidRDefault="00736681" w:rsidP="000408BA">
      <w:pPr>
        <w:rPr>
          <w:bCs/>
          <w:color w:val="0070C0"/>
          <w:lang w:val="en-GB"/>
        </w:rPr>
      </w:pPr>
      <w:r>
        <w:rPr>
          <w:bCs/>
          <w:color w:val="0070C0"/>
          <w:lang w:val="en-GB"/>
        </w:rPr>
        <w:t xml:space="preserve">The proposed change looks to add </w:t>
      </w:r>
      <w:r w:rsidR="00DE33C9">
        <w:rPr>
          <w:bCs/>
          <w:color w:val="0070C0"/>
          <w:lang w:val="en-GB"/>
        </w:rPr>
        <w:t>an additional field to the ClearedProduct1 type. It would add the cleared gross notional amount, taking type ActiveCurrencyAnd24Amount. This is defined as the gross notional that was cleared for that product on the report date.</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0D27A3CC" w14:textId="032CF4B2" w:rsidR="003042B8" w:rsidRPr="005A410C" w:rsidRDefault="00AE300F" w:rsidP="003042B8">
      <w:pPr>
        <w:rPr>
          <w:bCs/>
          <w:color w:val="0070C0"/>
          <w:lang w:val="en-GB"/>
        </w:rPr>
      </w:pPr>
      <w:r>
        <w:rPr>
          <w:bCs/>
          <w:color w:val="0070C0"/>
          <w:lang w:val="en-GB"/>
        </w:rPr>
        <w:t>The change is motivated by a drive to automate a request that is frequently made by the Bank of England to the CCPs at times of market stress.</w:t>
      </w:r>
    </w:p>
    <w:p w14:paraId="27AE68FC" w14:textId="77777777" w:rsidR="003042B8" w:rsidRDefault="003042B8"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4EB069D0" w14:textId="56204C59" w:rsidR="003042B8" w:rsidRPr="003042B8" w:rsidRDefault="003042B8" w:rsidP="00783891">
      <w:pPr>
        <w:rPr>
          <w:color w:val="0070C0"/>
          <w:lang w:val="en-GB"/>
        </w:rPr>
      </w:pPr>
      <w:r w:rsidRPr="003042B8">
        <w:rPr>
          <w:color w:val="0070C0"/>
          <w:lang w:val="en-GB"/>
        </w:rPr>
        <w:t>The desired outcome is shown alongside the present state below:</w:t>
      </w:r>
    </w:p>
    <w:tbl>
      <w:tblPr>
        <w:tblW w:w="3240" w:type="dxa"/>
        <w:tblInd w:w="108" w:type="dxa"/>
        <w:tblLook w:val="04A0" w:firstRow="1" w:lastRow="0" w:firstColumn="1" w:lastColumn="0" w:noHBand="0" w:noVBand="1"/>
      </w:tblPr>
      <w:tblGrid>
        <w:gridCol w:w="2261"/>
        <w:gridCol w:w="3290"/>
        <w:gridCol w:w="3243"/>
      </w:tblGrid>
      <w:tr w:rsidR="003042B8" w:rsidRPr="003042B8" w14:paraId="000A11BB" w14:textId="77777777" w:rsidTr="00637F0C">
        <w:trPr>
          <w:trHeight w:val="300"/>
        </w:trPr>
        <w:tc>
          <w:tcPr>
            <w:tcW w:w="3240" w:type="dxa"/>
            <w:gridSpan w:val="3"/>
            <w:tcBorders>
              <w:top w:val="nil"/>
              <w:left w:val="nil"/>
              <w:bottom w:val="nil"/>
              <w:right w:val="nil"/>
            </w:tcBorders>
            <w:shd w:val="clear" w:color="auto" w:fill="auto"/>
            <w:noWrap/>
            <w:vAlign w:val="bottom"/>
          </w:tcPr>
          <w:tbl>
            <w:tblPr>
              <w:tblW w:w="8500" w:type="dxa"/>
              <w:tblLook w:val="04A0" w:firstRow="1" w:lastRow="0" w:firstColumn="1" w:lastColumn="0" w:noHBand="0" w:noVBand="1"/>
            </w:tblPr>
            <w:tblGrid>
              <w:gridCol w:w="1298"/>
              <w:gridCol w:w="1220"/>
              <w:gridCol w:w="1419"/>
              <w:gridCol w:w="1481"/>
              <w:gridCol w:w="3160"/>
            </w:tblGrid>
            <w:tr w:rsidR="00637F0C" w:rsidRPr="00637F0C" w14:paraId="405F073F" w14:textId="77777777" w:rsidTr="00637F0C">
              <w:trPr>
                <w:trHeight w:val="300"/>
              </w:trPr>
              <w:tc>
                <w:tcPr>
                  <w:tcW w:w="1220" w:type="dxa"/>
                  <w:tcBorders>
                    <w:top w:val="nil"/>
                    <w:left w:val="nil"/>
                    <w:bottom w:val="nil"/>
                    <w:right w:val="nil"/>
                  </w:tcBorders>
                  <w:shd w:val="clear" w:color="auto" w:fill="auto"/>
                  <w:noWrap/>
                  <w:vAlign w:val="bottom"/>
                  <w:hideMark/>
                </w:tcPr>
                <w:p w14:paraId="2AB5AAE8" w14:textId="77777777" w:rsidR="00637F0C" w:rsidRPr="00637F0C" w:rsidRDefault="00637F0C" w:rsidP="00637F0C">
                  <w:pPr>
                    <w:spacing w:before="0"/>
                    <w:rPr>
                      <w:rFonts w:eastAsia="Times New Roman"/>
                      <w:sz w:val="20"/>
                      <w:szCs w:val="24"/>
                      <w:lang w:val="en-GB" w:eastAsia="en-GB"/>
                    </w:rPr>
                  </w:pPr>
                </w:p>
              </w:tc>
              <w:tc>
                <w:tcPr>
                  <w:tcW w:w="1220" w:type="dxa"/>
                  <w:tcBorders>
                    <w:top w:val="nil"/>
                    <w:left w:val="nil"/>
                    <w:bottom w:val="nil"/>
                    <w:right w:val="nil"/>
                  </w:tcBorders>
                  <w:shd w:val="clear" w:color="auto" w:fill="auto"/>
                  <w:noWrap/>
                  <w:vAlign w:val="bottom"/>
                  <w:hideMark/>
                </w:tcPr>
                <w:p w14:paraId="166A613F" w14:textId="77777777" w:rsidR="00637F0C" w:rsidRPr="00637F0C" w:rsidRDefault="00637F0C" w:rsidP="00637F0C">
                  <w:pPr>
                    <w:spacing w:before="0"/>
                    <w:jc w:val="center"/>
                    <w:rPr>
                      <w:rFonts w:eastAsia="Times New Roman"/>
                      <w:sz w:val="20"/>
                      <w:lang w:val="en-GB" w:eastAsia="en-GB"/>
                    </w:rPr>
                  </w:pPr>
                </w:p>
              </w:tc>
              <w:tc>
                <w:tcPr>
                  <w:tcW w:w="2900" w:type="dxa"/>
                  <w:gridSpan w:val="2"/>
                  <w:tcBorders>
                    <w:top w:val="nil"/>
                    <w:left w:val="nil"/>
                    <w:bottom w:val="nil"/>
                    <w:right w:val="nil"/>
                  </w:tcBorders>
                  <w:shd w:val="clear" w:color="auto" w:fill="auto"/>
                  <w:noWrap/>
                  <w:vAlign w:val="bottom"/>
                  <w:hideMark/>
                </w:tcPr>
                <w:p w14:paraId="0A2174FF" w14:textId="77777777" w:rsidR="00637F0C" w:rsidRPr="00637F0C" w:rsidRDefault="00637F0C" w:rsidP="00637F0C">
                  <w:pPr>
                    <w:spacing w:before="0"/>
                    <w:jc w:val="center"/>
                    <w:rPr>
                      <w:rFonts w:ascii="Calibri" w:eastAsia="Times New Roman" w:hAnsi="Calibri" w:cs="Calibri"/>
                      <w:color w:val="000000"/>
                      <w:sz w:val="22"/>
                      <w:szCs w:val="22"/>
                      <w:lang w:val="en-GB" w:eastAsia="en-GB"/>
                    </w:rPr>
                  </w:pPr>
                  <w:r w:rsidRPr="00637F0C">
                    <w:rPr>
                      <w:rFonts w:ascii="Calibri" w:eastAsia="Times New Roman" w:hAnsi="Calibri" w:cs="Calibri"/>
                      <w:color w:val="000000"/>
                      <w:sz w:val="22"/>
                      <w:szCs w:val="22"/>
                      <w:lang w:val="en-GB" w:eastAsia="en-GB"/>
                    </w:rPr>
                    <w:t>open interest</w:t>
                  </w:r>
                </w:p>
              </w:tc>
              <w:tc>
                <w:tcPr>
                  <w:tcW w:w="3160" w:type="dxa"/>
                  <w:tcBorders>
                    <w:top w:val="nil"/>
                    <w:left w:val="nil"/>
                    <w:bottom w:val="nil"/>
                    <w:right w:val="nil"/>
                  </w:tcBorders>
                  <w:shd w:val="clear" w:color="auto" w:fill="auto"/>
                  <w:noWrap/>
                  <w:vAlign w:val="bottom"/>
                  <w:hideMark/>
                </w:tcPr>
                <w:p w14:paraId="40921C93" w14:textId="77777777" w:rsidR="00637F0C" w:rsidRPr="00637F0C" w:rsidRDefault="00637F0C" w:rsidP="00637F0C">
                  <w:pPr>
                    <w:spacing w:before="0"/>
                    <w:jc w:val="center"/>
                    <w:rPr>
                      <w:rFonts w:ascii="Calibri" w:eastAsia="Times New Roman" w:hAnsi="Calibri" w:cs="Calibri"/>
                      <w:color w:val="000000"/>
                      <w:sz w:val="22"/>
                      <w:szCs w:val="22"/>
                      <w:lang w:val="en-GB" w:eastAsia="en-GB"/>
                    </w:rPr>
                  </w:pPr>
                </w:p>
              </w:tc>
            </w:tr>
            <w:tr w:rsidR="00637F0C" w:rsidRPr="00637F0C" w14:paraId="0297A719" w14:textId="77777777" w:rsidTr="00637F0C">
              <w:trPr>
                <w:trHeight w:val="300"/>
              </w:trPr>
              <w:tc>
                <w:tcPr>
                  <w:tcW w:w="1220" w:type="dxa"/>
                  <w:tcBorders>
                    <w:top w:val="nil"/>
                    <w:left w:val="nil"/>
                    <w:bottom w:val="nil"/>
                    <w:right w:val="nil"/>
                  </w:tcBorders>
                  <w:shd w:val="clear" w:color="auto" w:fill="auto"/>
                  <w:noWrap/>
                  <w:vAlign w:val="bottom"/>
                  <w:hideMark/>
                </w:tcPr>
                <w:p w14:paraId="18A5DF8B" w14:textId="77777777" w:rsidR="00637F0C" w:rsidRPr="00637F0C" w:rsidRDefault="00637F0C" w:rsidP="00637F0C">
                  <w:pPr>
                    <w:spacing w:before="0"/>
                    <w:jc w:val="center"/>
                    <w:rPr>
                      <w:rFonts w:ascii="Calibri" w:eastAsia="Times New Roman" w:hAnsi="Calibri" w:cs="Calibri"/>
                      <w:color w:val="000000"/>
                      <w:sz w:val="22"/>
                      <w:szCs w:val="22"/>
                      <w:lang w:val="en-GB" w:eastAsia="en-GB"/>
                    </w:rPr>
                  </w:pPr>
                  <w:proofErr w:type="spellStart"/>
                  <w:r w:rsidRPr="00637F0C">
                    <w:rPr>
                      <w:rFonts w:ascii="Calibri" w:eastAsia="Times New Roman" w:hAnsi="Calibri" w:cs="Calibri"/>
                      <w:color w:val="000000"/>
                      <w:sz w:val="22"/>
                      <w:szCs w:val="22"/>
                      <w:lang w:val="en-GB" w:eastAsia="en-GB"/>
                    </w:rPr>
                    <w:t>report_date</w:t>
                  </w:r>
                  <w:proofErr w:type="spellEnd"/>
                </w:p>
              </w:tc>
              <w:tc>
                <w:tcPr>
                  <w:tcW w:w="1220" w:type="dxa"/>
                  <w:tcBorders>
                    <w:top w:val="nil"/>
                    <w:left w:val="nil"/>
                    <w:bottom w:val="nil"/>
                    <w:right w:val="nil"/>
                  </w:tcBorders>
                  <w:shd w:val="clear" w:color="auto" w:fill="auto"/>
                  <w:noWrap/>
                  <w:vAlign w:val="bottom"/>
                  <w:hideMark/>
                </w:tcPr>
                <w:p w14:paraId="2E7DA14D" w14:textId="77777777" w:rsidR="00637F0C" w:rsidRPr="00637F0C" w:rsidRDefault="00637F0C" w:rsidP="00637F0C">
                  <w:pPr>
                    <w:spacing w:before="0"/>
                    <w:jc w:val="center"/>
                    <w:rPr>
                      <w:rFonts w:ascii="Calibri" w:eastAsia="Times New Roman" w:hAnsi="Calibri" w:cs="Calibri"/>
                      <w:color w:val="000000"/>
                      <w:sz w:val="22"/>
                      <w:szCs w:val="22"/>
                      <w:lang w:val="en-GB" w:eastAsia="en-GB"/>
                    </w:rPr>
                  </w:pPr>
                  <w:proofErr w:type="spellStart"/>
                  <w:r w:rsidRPr="00637F0C">
                    <w:rPr>
                      <w:rFonts w:ascii="Calibri" w:eastAsia="Times New Roman" w:hAnsi="Calibri" w:cs="Calibri"/>
                      <w:color w:val="000000"/>
                      <w:sz w:val="22"/>
                      <w:szCs w:val="22"/>
                      <w:lang w:val="en-GB" w:eastAsia="en-GB"/>
                    </w:rPr>
                    <w:t>product_id</w:t>
                  </w:r>
                  <w:proofErr w:type="spellEnd"/>
                </w:p>
              </w:tc>
              <w:tc>
                <w:tcPr>
                  <w:tcW w:w="1419" w:type="dxa"/>
                  <w:tcBorders>
                    <w:top w:val="nil"/>
                    <w:left w:val="nil"/>
                    <w:bottom w:val="nil"/>
                    <w:right w:val="nil"/>
                  </w:tcBorders>
                  <w:shd w:val="clear" w:color="auto" w:fill="auto"/>
                  <w:noWrap/>
                  <w:vAlign w:val="bottom"/>
                  <w:hideMark/>
                </w:tcPr>
                <w:p w14:paraId="24A1DD97" w14:textId="77777777" w:rsidR="00637F0C" w:rsidRPr="00637F0C" w:rsidRDefault="00637F0C" w:rsidP="00637F0C">
                  <w:pPr>
                    <w:spacing w:before="0"/>
                    <w:jc w:val="center"/>
                    <w:rPr>
                      <w:rFonts w:ascii="Calibri" w:eastAsia="Times New Roman" w:hAnsi="Calibri" w:cs="Calibri"/>
                      <w:color w:val="000000"/>
                      <w:sz w:val="22"/>
                      <w:szCs w:val="22"/>
                      <w:lang w:val="en-GB" w:eastAsia="en-GB"/>
                    </w:rPr>
                  </w:pPr>
                  <w:r w:rsidRPr="00637F0C">
                    <w:rPr>
                      <w:rFonts w:ascii="Calibri" w:eastAsia="Times New Roman" w:hAnsi="Calibri" w:cs="Calibri"/>
                      <w:color w:val="000000"/>
                      <w:sz w:val="22"/>
                      <w:szCs w:val="22"/>
                      <w:lang w:val="en-GB" w:eastAsia="en-GB"/>
                    </w:rPr>
                    <w:t>gross notional</w:t>
                  </w:r>
                </w:p>
              </w:tc>
              <w:tc>
                <w:tcPr>
                  <w:tcW w:w="1481" w:type="dxa"/>
                  <w:tcBorders>
                    <w:top w:val="nil"/>
                    <w:left w:val="nil"/>
                    <w:bottom w:val="nil"/>
                    <w:right w:val="nil"/>
                  </w:tcBorders>
                  <w:shd w:val="clear" w:color="auto" w:fill="auto"/>
                  <w:noWrap/>
                  <w:vAlign w:val="bottom"/>
                  <w:hideMark/>
                </w:tcPr>
                <w:p w14:paraId="70BEC2CB" w14:textId="77777777" w:rsidR="00637F0C" w:rsidRPr="00637F0C" w:rsidRDefault="00637F0C" w:rsidP="00637F0C">
                  <w:pPr>
                    <w:spacing w:before="0"/>
                    <w:jc w:val="center"/>
                    <w:rPr>
                      <w:rFonts w:ascii="Calibri" w:eastAsia="Times New Roman" w:hAnsi="Calibri" w:cs="Calibri"/>
                      <w:color w:val="000000"/>
                      <w:sz w:val="22"/>
                      <w:szCs w:val="22"/>
                      <w:lang w:val="en-GB" w:eastAsia="en-GB"/>
                    </w:rPr>
                  </w:pPr>
                  <w:r w:rsidRPr="00637F0C">
                    <w:rPr>
                      <w:rFonts w:ascii="Calibri" w:eastAsia="Times New Roman" w:hAnsi="Calibri" w:cs="Calibri"/>
                      <w:color w:val="000000"/>
                      <w:sz w:val="22"/>
                      <w:szCs w:val="22"/>
                      <w:lang w:val="en-GB" w:eastAsia="en-GB"/>
                    </w:rPr>
                    <w:t>number of lots</w:t>
                  </w:r>
                </w:p>
              </w:tc>
              <w:tc>
                <w:tcPr>
                  <w:tcW w:w="3160" w:type="dxa"/>
                  <w:tcBorders>
                    <w:top w:val="nil"/>
                    <w:left w:val="nil"/>
                    <w:bottom w:val="nil"/>
                    <w:right w:val="nil"/>
                  </w:tcBorders>
                  <w:shd w:val="clear" w:color="auto" w:fill="auto"/>
                  <w:noWrap/>
                  <w:vAlign w:val="bottom"/>
                  <w:hideMark/>
                </w:tcPr>
                <w:p w14:paraId="6143D6E3" w14:textId="77777777" w:rsidR="00637F0C" w:rsidRPr="00637F0C" w:rsidRDefault="00637F0C" w:rsidP="00637F0C">
                  <w:pPr>
                    <w:spacing w:before="0"/>
                    <w:jc w:val="center"/>
                    <w:rPr>
                      <w:rFonts w:ascii="Calibri" w:eastAsia="Times New Roman" w:hAnsi="Calibri" w:cs="Calibri"/>
                      <w:color w:val="000000"/>
                      <w:sz w:val="22"/>
                      <w:szCs w:val="22"/>
                      <w:lang w:val="en-GB" w:eastAsia="en-GB"/>
                    </w:rPr>
                  </w:pPr>
                  <w:proofErr w:type="spellStart"/>
                  <w:r w:rsidRPr="00637F0C">
                    <w:rPr>
                      <w:rFonts w:ascii="Calibri" w:eastAsia="Times New Roman" w:hAnsi="Calibri" w:cs="Calibri"/>
                      <w:color w:val="000000"/>
                      <w:sz w:val="22"/>
                      <w:szCs w:val="22"/>
                      <w:lang w:val="en-GB" w:eastAsia="en-GB"/>
                    </w:rPr>
                    <w:t>clearing_activity_gross_notional</w:t>
                  </w:r>
                  <w:proofErr w:type="spellEnd"/>
                </w:p>
              </w:tc>
            </w:tr>
            <w:tr w:rsidR="00637F0C" w:rsidRPr="00637F0C" w14:paraId="169D5A66" w14:textId="77777777" w:rsidTr="00637F0C">
              <w:trPr>
                <w:trHeight w:val="300"/>
              </w:trPr>
              <w:tc>
                <w:tcPr>
                  <w:tcW w:w="1220" w:type="dxa"/>
                  <w:tcBorders>
                    <w:top w:val="nil"/>
                    <w:left w:val="nil"/>
                    <w:bottom w:val="nil"/>
                    <w:right w:val="nil"/>
                  </w:tcBorders>
                  <w:shd w:val="clear" w:color="auto" w:fill="auto"/>
                  <w:noWrap/>
                  <w:vAlign w:val="bottom"/>
                  <w:hideMark/>
                </w:tcPr>
                <w:p w14:paraId="0EF21B63" w14:textId="77777777" w:rsidR="00637F0C" w:rsidRPr="00637F0C" w:rsidRDefault="00637F0C" w:rsidP="00637F0C">
                  <w:pPr>
                    <w:spacing w:before="0"/>
                    <w:jc w:val="center"/>
                    <w:rPr>
                      <w:rFonts w:ascii="Calibri" w:eastAsia="Times New Roman" w:hAnsi="Calibri" w:cs="Calibri"/>
                      <w:color w:val="000000"/>
                      <w:sz w:val="22"/>
                      <w:szCs w:val="22"/>
                      <w:lang w:val="en-GB" w:eastAsia="en-GB"/>
                    </w:rPr>
                  </w:pPr>
                  <w:r w:rsidRPr="00637F0C">
                    <w:rPr>
                      <w:rFonts w:ascii="Calibri" w:eastAsia="Times New Roman" w:hAnsi="Calibri" w:cs="Calibri"/>
                      <w:color w:val="000000"/>
                      <w:sz w:val="22"/>
                      <w:szCs w:val="22"/>
                      <w:lang w:val="en-GB" w:eastAsia="en-GB"/>
                    </w:rPr>
                    <w:t>01/06/2024</w:t>
                  </w:r>
                </w:p>
              </w:tc>
              <w:tc>
                <w:tcPr>
                  <w:tcW w:w="1220" w:type="dxa"/>
                  <w:tcBorders>
                    <w:top w:val="nil"/>
                    <w:left w:val="nil"/>
                    <w:bottom w:val="nil"/>
                    <w:right w:val="nil"/>
                  </w:tcBorders>
                  <w:shd w:val="clear" w:color="auto" w:fill="auto"/>
                  <w:noWrap/>
                  <w:vAlign w:val="bottom"/>
                  <w:hideMark/>
                </w:tcPr>
                <w:p w14:paraId="79116C5F" w14:textId="77777777" w:rsidR="00637F0C" w:rsidRPr="00637F0C" w:rsidRDefault="00637F0C" w:rsidP="00637F0C">
                  <w:pPr>
                    <w:spacing w:before="0"/>
                    <w:jc w:val="center"/>
                    <w:rPr>
                      <w:rFonts w:ascii="Calibri" w:eastAsia="Times New Roman" w:hAnsi="Calibri" w:cs="Calibri"/>
                      <w:color w:val="000000"/>
                      <w:sz w:val="22"/>
                      <w:szCs w:val="22"/>
                      <w:lang w:val="en-GB" w:eastAsia="en-GB"/>
                    </w:rPr>
                  </w:pPr>
                  <w:r w:rsidRPr="00637F0C">
                    <w:rPr>
                      <w:rFonts w:ascii="Calibri" w:eastAsia="Times New Roman" w:hAnsi="Calibri" w:cs="Calibri"/>
                      <w:color w:val="000000"/>
                      <w:sz w:val="22"/>
                      <w:szCs w:val="22"/>
                      <w:lang w:val="en-GB" w:eastAsia="en-GB"/>
                    </w:rPr>
                    <w:t>specimen</w:t>
                  </w:r>
                </w:p>
              </w:tc>
              <w:tc>
                <w:tcPr>
                  <w:tcW w:w="1419" w:type="dxa"/>
                  <w:tcBorders>
                    <w:top w:val="nil"/>
                    <w:left w:val="nil"/>
                    <w:bottom w:val="nil"/>
                    <w:right w:val="nil"/>
                  </w:tcBorders>
                  <w:shd w:val="clear" w:color="auto" w:fill="auto"/>
                  <w:noWrap/>
                  <w:vAlign w:val="bottom"/>
                  <w:hideMark/>
                </w:tcPr>
                <w:p w14:paraId="2C776D54" w14:textId="77777777" w:rsidR="00637F0C" w:rsidRPr="00637F0C" w:rsidRDefault="00637F0C" w:rsidP="00637F0C">
                  <w:pPr>
                    <w:spacing w:before="0"/>
                    <w:jc w:val="center"/>
                    <w:rPr>
                      <w:rFonts w:ascii="Calibri" w:eastAsia="Times New Roman" w:hAnsi="Calibri" w:cs="Calibri"/>
                      <w:color w:val="000000"/>
                      <w:sz w:val="22"/>
                      <w:szCs w:val="22"/>
                      <w:lang w:val="en-GB" w:eastAsia="en-GB"/>
                    </w:rPr>
                  </w:pPr>
                  <w:r w:rsidRPr="00637F0C">
                    <w:rPr>
                      <w:rFonts w:ascii="Calibri" w:eastAsia="Times New Roman" w:hAnsi="Calibri" w:cs="Calibri"/>
                      <w:color w:val="000000"/>
                      <w:sz w:val="22"/>
                      <w:szCs w:val="22"/>
                      <w:lang w:val="en-GB" w:eastAsia="en-GB"/>
                    </w:rPr>
                    <w:t>100000GBP</w:t>
                  </w:r>
                </w:p>
              </w:tc>
              <w:tc>
                <w:tcPr>
                  <w:tcW w:w="1481" w:type="dxa"/>
                  <w:tcBorders>
                    <w:top w:val="nil"/>
                    <w:left w:val="nil"/>
                    <w:bottom w:val="nil"/>
                    <w:right w:val="nil"/>
                  </w:tcBorders>
                  <w:shd w:val="clear" w:color="auto" w:fill="auto"/>
                  <w:noWrap/>
                  <w:vAlign w:val="bottom"/>
                  <w:hideMark/>
                </w:tcPr>
                <w:p w14:paraId="7CA9E9E2" w14:textId="77777777" w:rsidR="00637F0C" w:rsidRPr="00637F0C" w:rsidRDefault="00637F0C" w:rsidP="00637F0C">
                  <w:pPr>
                    <w:spacing w:before="0"/>
                    <w:jc w:val="center"/>
                    <w:rPr>
                      <w:rFonts w:ascii="Calibri" w:eastAsia="Times New Roman" w:hAnsi="Calibri" w:cs="Calibri"/>
                      <w:color w:val="000000"/>
                      <w:sz w:val="22"/>
                      <w:szCs w:val="22"/>
                      <w:lang w:val="en-GB" w:eastAsia="en-GB"/>
                    </w:rPr>
                  </w:pPr>
                  <w:r w:rsidRPr="00637F0C">
                    <w:rPr>
                      <w:rFonts w:ascii="Calibri" w:eastAsia="Times New Roman" w:hAnsi="Calibri" w:cs="Calibri"/>
                      <w:color w:val="000000"/>
                      <w:sz w:val="22"/>
                      <w:szCs w:val="22"/>
                      <w:lang w:val="en-GB" w:eastAsia="en-GB"/>
                    </w:rPr>
                    <w:t>25</w:t>
                  </w:r>
                </w:p>
              </w:tc>
              <w:tc>
                <w:tcPr>
                  <w:tcW w:w="3160" w:type="dxa"/>
                  <w:tcBorders>
                    <w:top w:val="nil"/>
                    <w:left w:val="nil"/>
                    <w:bottom w:val="nil"/>
                    <w:right w:val="nil"/>
                  </w:tcBorders>
                  <w:shd w:val="clear" w:color="auto" w:fill="auto"/>
                  <w:noWrap/>
                  <w:vAlign w:val="bottom"/>
                  <w:hideMark/>
                </w:tcPr>
                <w:p w14:paraId="1D7E700D" w14:textId="77777777" w:rsidR="00637F0C" w:rsidRPr="00637F0C" w:rsidRDefault="00637F0C" w:rsidP="00637F0C">
                  <w:pPr>
                    <w:spacing w:before="0"/>
                    <w:jc w:val="center"/>
                    <w:rPr>
                      <w:rFonts w:ascii="Calibri" w:eastAsia="Times New Roman" w:hAnsi="Calibri" w:cs="Calibri"/>
                      <w:color w:val="000000"/>
                      <w:sz w:val="22"/>
                      <w:szCs w:val="22"/>
                      <w:lang w:val="en-GB" w:eastAsia="en-GB"/>
                    </w:rPr>
                  </w:pPr>
                  <w:r w:rsidRPr="00637F0C">
                    <w:rPr>
                      <w:rFonts w:ascii="Calibri" w:eastAsia="Times New Roman" w:hAnsi="Calibri" w:cs="Calibri"/>
                      <w:color w:val="000000"/>
                      <w:sz w:val="22"/>
                      <w:szCs w:val="22"/>
                      <w:lang w:val="en-GB" w:eastAsia="en-GB"/>
                    </w:rPr>
                    <w:t>2000GBP</w:t>
                  </w:r>
                </w:p>
              </w:tc>
            </w:tr>
          </w:tbl>
          <w:p w14:paraId="3A58E9B2" w14:textId="37C673E0" w:rsidR="003042B8" w:rsidRPr="003042B8" w:rsidRDefault="003042B8" w:rsidP="003042B8">
            <w:pPr>
              <w:spacing w:before="0"/>
              <w:rPr>
                <w:rFonts w:ascii="Calibri" w:eastAsia="Times New Roman" w:hAnsi="Calibri" w:cs="Calibri"/>
                <w:color w:val="0070C0"/>
                <w:sz w:val="22"/>
                <w:szCs w:val="22"/>
                <w:lang w:val="en-GB" w:eastAsia="en-GB"/>
              </w:rPr>
            </w:pPr>
          </w:p>
        </w:tc>
      </w:tr>
      <w:tr w:rsidR="003042B8" w:rsidRPr="003042B8" w14:paraId="41242501" w14:textId="77777777" w:rsidTr="00637F0C">
        <w:trPr>
          <w:trHeight w:val="300"/>
        </w:trPr>
        <w:tc>
          <w:tcPr>
            <w:tcW w:w="833" w:type="dxa"/>
            <w:tcBorders>
              <w:top w:val="nil"/>
              <w:left w:val="nil"/>
              <w:bottom w:val="nil"/>
              <w:right w:val="nil"/>
            </w:tcBorders>
            <w:shd w:val="clear" w:color="auto" w:fill="auto"/>
            <w:noWrap/>
            <w:vAlign w:val="bottom"/>
          </w:tcPr>
          <w:p w14:paraId="1D56F207" w14:textId="7AFB2918" w:rsidR="003042B8" w:rsidRPr="003042B8" w:rsidRDefault="003042B8" w:rsidP="003042B8">
            <w:pPr>
              <w:spacing w:before="0"/>
              <w:rPr>
                <w:rFonts w:ascii="Calibri" w:eastAsia="Times New Roman" w:hAnsi="Calibri" w:cs="Calibri"/>
                <w:color w:val="0070C0"/>
                <w:sz w:val="22"/>
                <w:szCs w:val="22"/>
                <w:lang w:val="en-GB" w:eastAsia="en-GB"/>
              </w:rPr>
            </w:pPr>
          </w:p>
        </w:tc>
        <w:tc>
          <w:tcPr>
            <w:tcW w:w="2407" w:type="dxa"/>
            <w:gridSpan w:val="2"/>
            <w:tcBorders>
              <w:top w:val="nil"/>
              <w:left w:val="nil"/>
              <w:bottom w:val="nil"/>
              <w:right w:val="nil"/>
            </w:tcBorders>
            <w:shd w:val="clear" w:color="auto" w:fill="auto"/>
            <w:noWrap/>
            <w:vAlign w:val="bottom"/>
          </w:tcPr>
          <w:p w14:paraId="2B8FA7C6" w14:textId="53583BCE" w:rsidR="003042B8" w:rsidRPr="003042B8" w:rsidRDefault="003042B8" w:rsidP="003042B8">
            <w:pPr>
              <w:spacing w:before="0"/>
              <w:rPr>
                <w:rFonts w:ascii="Calibri" w:eastAsia="Times New Roman" w:hAnsi="Calibri" w:cs="Calibri"/>
                <w:color w:val="0070C0"/>
                <w:sz w:val="22"/>
                <w:szCs w:val="22"/>
                <w:lang w:val="en-GB" w:eastAsia="en-GB"/>
              </w:rPr>
            </w:pPr>
          </w:p>
        </w:tc>
      </w:tr>
      <w:tr w:rsidR="003042B8" w:rsidRPr="003042B8" w14:paraId="40FB4D99" w14:textId="77777777" w:rsidTr="00637F0C">
        <w:trPr>
          <w:trHeight w:val="300"/>
        </w:trPr>
        <w:tc>
          <w:tcPr>
            <w:tcW w:w="833" w:type="dxa"/>
            <w:tcBorders>
              <w:top w:val="nil"/>
              <w:left w:val="nil"/>
              <w:bottom w:val="nil"/>
              <w:right w:val="nil"/>
            </w:tcBorders>
            <w:shd w:val="clear" w:color="auto" w:fill="auto"/>
            <w:noWrap/>
            <w:vAlign w:val="bottom"/>
          </w:tcPr>
          <w:p w14:paraId="22AC7B8B" w14:textId="7B9E48B3" w:rsidR="003042B8" w:rsidRPr="003042B8" w:rsidRDefault="003042B8" w:rsidP="003042B8">
            <w:pPr>
              <w:spacing w:before="0"/>
              <w:jc w:val="right"/>
              <w:rPr>
                <w:rFonts w:ascii="Calibri" w:eastAsia="Times New Roman" w:hAnsi="Calibri" w:cs="Calibri"/>
                <w:color w:val="0070C0"/>
                <w:sz w:val="22"/>
                <w:szCs w:val="22"/>
                <w:lang w:val="en-GB" w:eastAsia="en-GB"/>
              </w:rPr>
            </w:pPr>
          </w:p>
        </w:tc>
        <w:tc>
          <w:tcPr>
            <w:tcW w:w="1212" w:type="dxa"/>
            <w:tcBorders>
              <w:top w:val="nil"/>
              <w:left w:val="nil"/>
              <w:bottom w:val="nil"/>
              <w:right w:val="nil"/>
            </w:tcBorders>
            <w:shd w:val="clear" w:color="auto" w:fill="auto"/>
            <w:noWrap/>
            <w:vAlign w:val="bottom"/>
          </w:tcPr>
          <w:p w14:paraId="4E0C57B7" w14:textId="10648711" w:rsidR="003042B8" w:rsidRPr="003042B8" w:rsidRDefault="003042B8" w:rsidP="003042B8">
            <w:pPr>
              <w:spacing w:before="0"/>
              <w:rPr>
                <w:rFonts w:ascii="Calibri" w:eastAsia="Times New Roman" w:hAnsi="Calibri" w:cs="Calibri"/>
                <w:color w:val="0070C0"/>
                <w:sz w:val="22"/>
                <w:szCs w:val="22"/>
                <w:lang w:val="en-GB" w:eastAsia="en-GB"/>
              </w:rPr>
            </w:pPr>
          </w:p>
        </w:tc>
        <w:tc>
          <w:tcPr>
            <w:tcW w:w="1195" w:type="dxa"/>
            <w:tcBorders>
              <w:top w:val="nil"/>
              <w:left w:val="nil"/>
              <w:bottom w:val="nil"/>
              <w:right w:val="nil"/>
            </w:tcBorders>
            <w:shd w:val="clear" w:color="auto" w:fill="auto"/>
            <w:noWrap/>
            <w:vAlign w:val="bottom"/>
          </w:tcPr>
          <w:p w14:paraId="4A8DE79D" w14:textId="77777777" w:rsidR="003042B8" w:rsidRPr="003042B8" w:rsidRDefault="003042B8" w:rsidP="003042B8">
            <w:pPr>
              <w:spacing w:before="0"/>
              <w:rPr>
                <w:rFonts w:ascii="Calibri" w:eastAsia="Times New Roman" w:hAnsi="Calibri" w:cs="Calibri"/>
                <w:color w:val="0070C0"/>
                <w:sz w:val="22"/>
                <w:szCs w:val="22"/>
                <w:lang w:val="en-GB" w:eastAsia="en-GB"/>
              </w:rPr>
            </w:pPr>
          </w:p>
        </w:tc>
      </w:tr>
      <w:tr w:rsidR="003042B8" w:rsidRPr="003042B8" w14:paraId="4D77BA0F" w14:textId="77777777" w:rsidTr="00637F0C">
        <w:trPr>
          <w:trHeight w:val="300"/>
        </w:trPr>
        <w:tc>
          <w:tcPr>
            <w:tcW w:w="833" w:type="dxa"/>
            <w:tcBorders>
              <w:top w:val="nil"/>
              <w:left w:val="nil"/>
              <w:bottom w:val="nil"/>
              <w:right w:val="nil"/>
            </w:tcBorders>
            <w:shd w:val="clear" w:color="auto" w:fill="auto"/>
            <w:noWrap/>
            <w:vAlign w:val="bottom"/>
          </w:tcPr>
          <w:p w14:paraId="03DCBF14" w14:textId="77777777" w:rsidR="003042B8" w:rsidRPr="003042B8" w:rsidRDefault="003042B8" w:rsidP="003042B8">
            <w:pPr>
              <w:spacing w:before="0"/>
              <w:rPr>
                <w:rFonts w:eastAsia="Times New Roman"/>
                <w:color w:val="0070C0"/>
                <w:sz w:val="20"/>
                <w:lang w:val="en-GB" w:eastAsia="en-GB"/>
              </w:rPr>
            </w:pPr>
          </w:p>
        </w:tc>
        <w:tc>
          <w:tcPr>
            <w:tcW w:w="1212" w:type="dxa"/>
            <w:tcBorders>
              <w:top w:val="nil"/>
              <w:left w:val="nil"/>
              <w:bottom w:val="nil"/>
              <w:right w:val="nil"/>
            </w:tcBorders>
            <w:shd w:val="clear" w:color="auto" w:fill="auto"/>
            <w:noWrap/>
            <w:vAlign w:val="bottom"/>
          </w:tcPr>
          <w:p w14:paraId="469B033C" w14:textId="77777777" w:rsidR="003042B8" w:rsidRPr="003042B8" w:rsidRDefault="003042B8" w:rsidP="003042B8">
            <w:pPr>
              <w:spacing w:before="0"/>
              <w:rPr>
                <w:rFonts w:eastAsia="Times New Roman"/>
                <w:color w:val="0070C0"/>
                <w:sz w:val="20"/>
                <w:lang w:val="en-GB" w:eastAsia="en-GB"/>
              </w:rPr>
            </w:pPr>
          </w:p>
        </w:tc>
        <w:tc>
          <w:tcPr>
            <w:tcW w:w="1195" w:type="dxa"/>
            <w:tcBorders>
              <w:top w:val="nil"/>
              <w:left w:val="nil"/>
              <w:bottom w:val="nil"/>
              <w:right w:val="nil"/>
            </w:tcBorders>
            <w:shd w:val="clear" w:color="auto" w:fill="auto"/>
            <w:noWrap/>
            <w:vAlign w:val="bottom"/>
          </w:tcPr>
          <w:p w14:paraId="43D7EBA4" w14:textId="77777777" w:rsidR="003042B8" w:rsidRPr="003042B8" w:rsidRDefault="003042B8" w:rsidP="003042B8">
            <w:pPr>
              <w:spacing w:before="0"/>
              <w:rPr>
                <w:rFonts w:eastAsia="Times New Roman"/>
                <w:color w:val="0070C0"/>
                <w:sz w:val="20"/>
                <w:lang w:val="en-GB" w:eastAsia="en-GB"/>
              </w:rPr>
            </w:pPr>
          </w:p>
        </w:tc>
      </w:tr>
      <w:tr w:rsidR="003042B8" w:rsidRPr="003042B8" w14:paraId="2C40B4AD" w14:textId="77777777" w:rsidTr="00637F0C">
        <w:trPr>
          <w:trHeight w:val="300"/>
        </w:trPr>
        <w:tc>
          <w:tcPr>
            <w:tcW w:w="3240" w:type="dxa"/>
            <w:gridSpan w:val="3"/>
            <w:tcBorders>
              <w:top w:val="nil"/>
              <w:left w:val="nil"/>
              <w:bottom w:val="nil"/>
              <w:right w:val="nil"/>
            </w:tcBorders>
            <w:shd w:val="clear" w:color="auto" w:fill="auto"/>
            <w:noWrap/>
            <w:vAlign w:val="bottom"/>
          </w:tcPr>
          <w:p w14:paraId="0529B63B" w14:textId="0257FDB5" w:rsidR="003042B8" w:rsidRPr="003042B8" w:rsidRDefault="003042B8" w:rsidP="003042B8">
            <w:pPr>
              <w:spacing w:before="0"/>
              <w:rPr>
                <w:rFonts w:ascii="Calibri" w:eastAsia="Times New Roman" w:hAnsi="Calibri" w:cs="Calibri"/>
                <w:color w:val="0070C0"/>
                <w:sz w:val="22"/>
                <w:szCs w:val="22"/>
                <w:lang w:val="en-GB" w:eastAsia="en-GB"/>
              </w:rPr>
            </w:pPr>
          </w:p>
        </w:tc>
      </w:tr>
      <w:tr w:rsidR="003042B8" w:rsidRPr="003042B8" w14:paraId="3F5808DA" w14:textId="77777777" w:rsidTr="00637F0C">
        <w:trPr>
          <w:trHeight w:val="300"/>
        </w:trPr>
        <w:tc>
          <w:tcPr>
            <w:tcW w:w="833" w:type="dxa"/>
            <w:tcBorders>
              <w:top w:val="nil"/>
              <w:left w:val="nil"/>
              <w:bottom w:val="nil"/>
              <w:right w:val="nil"/>
            </w:tcBorders>
            <w:shd w:val="clear" w:color="auto" w:fill="auto"/>
            <w:noWrap/>
            <w:vAlign w:val="bottom"/>
          </w:tcPr>
          <w:p w14:paraId="49601003" w14:textId="60A2A970" w:rsidR="003042B8" w:rsidRPr="003042B8" w:rsidRDefault="003042B8" w:rsidP="003042B8">
            <w:pPr>
              <w:spacing w:before="0"/>
              <w:rPr>
                <w:rFonts w:ascii="Calibri" w:eastAsia="Times New Roman" w:hAnsi="Calibri" w:cs="Calibri"/>
                <w:color w:val="0070C0"/>
                <w:sz w:val="22"/>
                <w:szCs w:val="22"/>
                <w:lang w:val="en-GB" w:eastAsia="en-GB"/>
              </w:rPr>
            </w:pPr>
          </w:p>
        </w:tc>
        <w:tc>
          <w:tcPr>
            <w:tcW w:w="1212" w:type="dxa"/>
            <w:tcBorders>
              <w:top w:val="nil"/>
              <w:left w:val="nil"/>
              <w:bottom w:val="nil"/>
              <w:right w:val="nil"/>
            </w:tcBorders>
            <w:shd w:val="clear" w:color="auto" w:fill="auto"/>
            <w:noWrap/>
            <w:vAlign w:val="bottom"/>
          </w:tcPr>
          <w:p w14:paraId="055321A7" w14:textId="707C0397" w:rsidR="003042B8" w:rsidRPr="003042B8" w:rsidRDefault="003042B8" w:rsidP="003042B8">
            <w:pPr>
              <w:spacing w:before="0"/>
              <w:rPr>
                <w:rFonts w:ascii="Calibri" w:eastAsia="Times New Roman" w:hAnsi="Calibri" w:cs="Calibri"/>
                <w:color w:val="0070C0"/>
                <w:sz w:val="22"/>
                <w:szCs w:val="22"/>
                <w:lang w:val="en-GB" w:eastAsia="en-GB"/>
              </w:rPr>
            </w:pPr>
          </w:p>
        </w:tc>
        <w:tc>
          <w:tcPr>
            <w:tcW w:w="1195" w:type="dxa"/>
            <w:tcBorders>
              <w:top w:val="nil"/>
              <w:left w:val="nil"/>
              <w:bottom w:val="nil"/>
              <w:right w:val="nil"/>
            </w:tcBorders>
            <w:shd w:val="clear" w:color="auto" w:fill="auto"/>
            <w:noWrap/>
            <w:vAlign w:val="bottom"/>
          </w:tcPr>
          <w:p w14:paraId="613EBFFC" w14:textId="04ACB3D7" w:rsidR="003042B8" w:rsidRPr="003042B8" w:rsidRDefault="003042B8" w:rsidP="003042B8">
            <w:pPr>
              <w:spacing w:before="0"/>
              <w:rPr>
                <w:rFonts w:ascii="Calibri" w:eastAsia="Times New Roman" w:hAnsi="Calibri" w:cs="Calibri"/>
                <w:color w:val="0070C0"/>
                <w:sz w:val="22"/>
                <w:szCs w:val="22"/>
                <w:lang w:val="en-GB" w:eastAsia="en-GB"/>
              </w:rPr>
            </w:pPr>
          </w:p>
        </w:tc>
      </w:tr>
      <w:tr w:rsidR="003042B8" w:rsidRPr="003042B8" w14:paraId="3233854B" w14:textId="77777777" w:rsidTr="00637F0C">
        <w:trPr>
          <w:trHeight w:val="300"/>
        </w:trPr>
        <w:tc>
          <w:tcPr>
            <w:tcW w:w="833" w:type="dxa"/>
            <w:tcBorders>
              <w:top w:val="nil"/>
              <w:left w:val="nil"/>
              <w:bottom w:val="nil"/>
              <w:right w:val="nil"/>
            </w:tcBorders>
            <w:shd w:val="clear" w:color="auto" w:fill="auto"/>
            <w:noWrap/>
            <w:vAlign w:val="bottom"/>
          </w:tcPr>
          <w:p w14:paraId="2F587906" w14:textId="212B5667" w:rsidR="003042B8" w:rsidRPr="003042B8" w:rsidRDefault="003042B8" w:rsidP="003042B8">
            <w:pPr>
              <w:spacing w:before="0"/>
              <w:jc w:val="right"/>
              <w:rPr>
                <w:rFonts w:ascii="Calibri" w:eastAsia="Times New Roman" w:hAnsi="Calibri" w:cs="Calibri"/>
                <w:color w:val="0070C0"/>
                <w:sz w:val="22"/>
                <w:szCs w:val="22"/>
                <w:lang w:val="en-GB" w:eastAsia="en-GB"/>
              </w:rPr>
            </w:pPr>
          </w:p>
        </w:tc>
        <w:tc>
          <w:tcPr>
            <w:tcW w:w="1212" w:type="dxa"/>
            <w:tcBorders>
              <w:top w:val="nil"/>
              <w:left w:val="nil"/>
              <w:bottom w:val="nil"/>
              <w:right w:val="nil"/>
            </w:tcBorders>
            <w:shd w:val="clear" w:color="auto" w:fill="auto"/>
            <w:noWrap/>
            <w:vAlign w:val="bottom"/>
          </w:tcPr>
          <w:p w14:paraId="7027AF3F" w14:textId="68445986" w:rsidR="003042B8" w:rsidRPr="003042B8" w:rsidRDefault="003042B8" w:rsidP="003042B8">
            <w:pPr>
              <w:spacing w:before="0"/>
              <w:rPr>
                <w:rFonts w:ascii="Calibri" w:eastAsia="Times New Roman" w:hAnsi="Calibri" w:cs="Calibri"/>
                <w:color w:val="0070C0"/>
                <w:sz w:val="22"/>
                <w:szCs w:val="22"/>
                <w:lang w:val="en-GB" w:eastAsia="en-GB"/>
              </w:rPr>
            </w:pPr>
          </w:p>
        </w:tc>
        <w:tc>
          <w:tcPr>
            <w:tcW w:w="1195" w:type="dxa"/>
            <w:tcBorders>
              <w:top w:val="nil"/>
              <w:left w:val="nil"/>
              <w:bottom w:val="nil"/>
              <w:right w:val="nil"/>
            </w:tcBorders>
            <w:shd w:val="clear" w:color="auto" w:fill="auto"/>
            <w:noWrap/>
            <w:vAlign w:val="bottom"/>
          </w:tcPr>
          <w:p w14:paraId="3D7AFC72" w14:textId="5B4B067A" w:rsidR="003042B8" w:rsidRPr="003042B8" w:rsidRDefault="003042B8" w:rsidP="003042B8">
            <w:pPr>
              <w:spacing w:before="0"/>
              <w:rPr>
                <w:rFonts w:ascii="Calibri" w:eastAsia="Times New Roman" w:hAnsi="Calibri" w:cs="Calibri"/>
                <w:color w:val="0070C0"/>
                <w:sz w:val="22"/>
                <w:szCs w:val="22"/>
                <w:lang w:val="en-GB" w:eastAsia="en-GB"/>
              </w:rPr>
            </w:pPr>
          </w:p>
        </w:tc>
      </w:tr>
      <w:tr w:rsidR="003042B8" w:rsidRPr="003042B8" w14:paraId="6BC6B114" w14:textId="77777777" w:rsidTr="00637F0C">
        <w:trPr>
          <w:trHeight w:val="300"/>
        </w:trPr>
        <w:tc>
          <w:tcPr>
            <w:tcW w:w="833" w:type="dxa"/>
            <w:tcBorders>
              <w:top w:val="nil"/>
              <w:left w:val="nil"/>
              <w:bottom w:val="nil"/>
              <w:right w:val="nil"/>
            </w:tcBorders>
            <w:shd w:val="clear" w:color="auto" w:fill="auto"/>
            <w:noWrap/>
            <w:vAlign w:val="bottom"/>
          </w:tcPr>
          <w:p w14:paraId="7D8D6CF4" w14:textId="6A83684B" w:rsidR="003042B8" w:rsidRPr="003042B8" w:rsidRDefault="003042B8" w:rsidP="003042B8">
            <w:pPr>
              <w:spacing w:before="0"/>
              <w:jc w:val="right"/>
              <w:rPr>
                <w:rFonts w:ascii="Calibri" w:eastAsia="Times New Roman" w:hAnsi="Calibri" w:cs="Calibri"/>
                <w:color w:val="0070C0"/>
                <w:sz w:val="22"/>
                <w:szCs w:val="22"/>
                <w:lang w:val="en-GB" w:eastAsia="en-GB"/>
              </w:rPr>
            </w:pPr>
          </w:p>
        </w:tc>
        <w:tc>
          <w:tcPr>
            <w:tcW w:w="1212" w:type="dxa"/>
            <w:tcBorders>
              <w:top w:val="nil"/>
              <w:left w:val="nil"/>
              <w:bottom w:val="nil"/>
              <w:right w:val="nil"/>
            </w:tcBorders>
            <w:shd w:val="clear" w:color="auto" w:fill="auto"/>
            <w:noWrap/>
            <w:vAlign w:val="bottom"/>
          </w:tcPr>
          <w:p w14:paraId="3599BD42" w14:textId="5830FDBF" w:rsidR="003042B8" w:rsidRPr="003042B8" w:rsidRDefault="003042B8" w:rsidP="003042B8">
            <w:pPr>
              <w:spacing w:before="0"/>
              <w:rPr>
                <w:rFonts w:ascii="Calibri" w:eastAsia="Times New Roman" w:hAnsi="Calibri" w:cs="Calibri"/>
                <w:color w:val="0070C0"/>
                <w:sz w:val="22"/>
                <w:szCs w:val="22"/>
                <w:lang w:val="en-GB" w:eastAsia="en-GB"/>
              </w:rPr>
            </w:pPr>
          </w:p>
        </w:tc>
        <w:tc>
          <w:tcPr>
            <w:tcW w:w="1195" w:type="dxa"/>
            <w:tcBorders>
              <w:top w:val="nil"/>
              <w:left w:val="nil"/>
              <w:bottom w:val="nil"/>
              <w:right w:val="nil"/>
            </w:tcBorders>
            <w:shd w:val="clear" w:color="auto" w:fill="auto"/>
            <w:noWrap/>
            <w:vAlign w:val="bottom"/>
          </w:tcPr>
          <w:p w14:paraId="65FE671D" w14:textId="169E7667" w:rsidR="003042B8" w:rsidRPr="003042B8" w:rsidRDefault="003042B8" w:rsidP="003042B8">
            <w:pPr>
              <w:spacing w:before="0"/>
              <w:rPr>
                <w:rFonts w:ascii="Calibri" w:eastAsia="Times New Roman" w:hAnsi="Calibri" w:cs="Calibri"/>
                <w:color w:val="0070C0"/>
                <w:sz w:val="22"/>
                <w:szCs w:val="22"/>
                <w:lang w:val="en-GB" w:eastAsia="en-GB"/>
              </w:rPr>
            </w:pPr>
          </w:p>
        </w:tc>
      </w:tr>
      <w:tr w:rsidR="003042B8" w:rsidRPr="003042B8" w14:paraId="20501603" w14:textId="77777777" w:rsidTr="00637F0C">
        <w:trPr>
          <w:trHeight w:val="300"/>
        </w:trPr>
        <w:tc>
          <w:tcPr>
            <w:tcW w:w="833" w:type="dxa"/>
            <w:tcBorders>
              <w:top w:val="nil"/>
              <w:left w:val="nil"/>
              <w:bottom w:val="nil"/>
              <w:right w:val="nil"/>
            </w:tcBorders>
            <w:shd w:val="clear" w:color="auto" w:fill="auto"/>
            <w:noWrap/>
            <w:vAlign w:val="bottom"/>
          </w:tcPr>
          <w:p w14:paraId="40843B89" w14:textId="486ED728" w:rsidR="003042B8" w:rsidRPr="003042B8" w:rsidRDefault="003042B8" w:rsidP="003042B8">
            <w:pPr>
              <w:spacing w:before="0"/>
              <w:jc w:val="right"/>
              <w:rPr>
                <w:rFonts w:ascii="Calibri" w:eastAsia="Times New Roman" w:hAnsi="Calibri" w:cs="Calibri"/>
                <w:color w:val="0070C0"/>
                <w:sz w:val="22"/>
                <w:szCs w:val="22"/>
                <w:lang w:val="en-GB" w:eastAsia="en-GB"/>
              </w:rPr>
            </w:pPr>
          </w:p>
        </w:tc>
        <w:tc>
          <w:tcPr>
            <w:tcW w:w="1212" w:type="dxa"/>
            <w:tcBorders>
              <w:top w:val="nil"/>
              <w:left w:val="nil"/>
              <w:bottom w:val="nil"/>
              <w:right w:val="nil"/>
            </w:tcBorders>
            <w:shd w:val="clear" w:color="auto" w:fill="auto"/>
            <w:noWrap/>
            <w:vAlign w:val="bottom"/>
          </w:tcPr>
          <w:p w14:paraId="2BECC692" w14:textId="460EFF8E" w:rsidR="003042B8" w:rsidRPr="003042B8" w:rsidRDefault="003042B8" w:rsidP="003042B8">
            <w:pPr>
              <w:spacing w:before="0"/>
              <w:rPr>
                <w:rFonts w:ascii="Calibri" w:eastAsia="Times New Roman" w:hAnsi="Calibri" w:cs="Calibri"/>
                <w:color w:val="0070C0"/>
                <w:sz w:val="22"/>
                <w:szCs w:val="22"/>
                <w:lang w:val="en-GB" w:eastAsia="en-GB"/>
              </w:rPr>
            </w:pPr>
          </w:p>
        </w:tc>
        <w:tc>
          <w:tcPr>
            <w:tcW w:w="1195" w:type="dxa"/>
            <w:tcBorders>
              <w:top w:val="nil"/>
              <w:left w:val="nil"/>
              <w:bottom w:val="nil"/>
              <w:right w:val="nil"/>
            </w:tcBorders>
            <w:shd w:val="clear" w:color="auto" w:fill="auto"/>
            <w:noWrap/>
            <w:vAlign w:val="bottom"/>
          </w:tcPr>
          <w:p w14:paraId="358A93AD" w14:textId="4E44F244" w:rsidR="003042B8" w:rsidRPr="003042B8" w:rsidRDefault="003042B8" w:rsidP="003042B8">
            <w:pPr>
              <w:spacing w:before="0"/>
              <w:rPr>
                <w:rFonts w:ascii="Calibri" w:eastAsia="Times New Roman" w:hAnsi="Calibri" w:cs="Calibri"/>
                <w:color w:val="0070C0"/>
                <w:sz w:val="22"/>
                <w:szCs w:val="22"/>
                <w:lang w:val="en-GB" w:eastAsia="en-GB"/>
              </w:rPr>
            </w:pPr>
          </w:p>
        </w:tc>
      </w:tr>
    </w:tbl>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45CBDC1F"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4A4E3ACC" w:rsidR="00130EB9" w:rsidRPr="00AD7CD5" w:rsidRDefault="006147D2"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E327" w14:textId="77777777" w:rsidR="00645416" w:rsidRDefault="00645416">
      <w:r>
        <w:separator/>
      </w:r>
    </w:p>
  </w:endnote>
  <w:endnote w:type="continuationSeparator" w:id="0">
    <w:p w14:paraId="61638A1F" w14:textId="77777777" w:rsidR="00645416" w:rsidRDefault="0064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45408134" w:rsidR="00567F13" w:rsidRDefault="006147D2">
    <w:pPr>
      <w:pStyle w:val="Footer"/>
      <w:rPr>
        <w:rStyle w:val="PageNumber"/>
      </w:rPr>
    </w:pPr>
    <w:r>
      <w:fldChar w:fldCharType="begin"/>
    </w:r>
    <w:r>
      <w:instrText xml:space="preserve"> FILENAME   \* MERGEFORMAT </w:instrText>
    </w:r>
    <w:r>
      <w:fldChar w:fldCharType="separate"/>
    </w:r>
    <w:r>
      <w:rPr>
        <w:noProof/>
      </w:rPr>
      <w:t>CR1410_BoE_Cleared_Product_v2.docx</w:t>
    </w:r>
    <w:r>
      <w:rPr>
        <w:noProof/>
      </w:rPr>
      <w:fldChar w:fldCharType="end"/>
    </w:r>
    <w:r w:rsidR="00567F13">
      <w:tab/>
      <w:t>Produced by</w:t>
    </w:r>
    <w:r w:rsidR="00AE22DA">
      <w:t xml:space="preserve"> 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C7ACC" w14:textId="77777777" w:rsidR="00645416" w:rsidRDefault="00645416">
      <w:r>
        <w:separator/>
      </w:r>
    </w:p>
  </w:footnote>
  <w:footnote w:type="continuationSeparator" w:id="0">
    <w:p w14:paraId="686E2621" w14:textId="77777777" w:rsidR="00645416" w:rsidRDefault="0064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726A173" w:rsidR="00E74C04" w:rsidRPr="00801493" w:rsidRDefault="00801493">
    <w:pPr>
      <w:pStyle w:val="Header"/>
      <w:rPr>
        <w:lang w:val="fr-BE"/>
      </w:rPr>
    </w:pPr>
    <w:r>
      <w:rPr>
        <w:lang w:val="fr-BE"/>
      </w:rPr>
      <w:t xml:space="preserve">RA ID : </w:t>
    </w:r>
    <w:r w:rsidR="00AE22DA">
      <w:rPr>
        <w:lang w:val="fr-BE"/>
      </w:rPr>
      <w:t>CR1410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653F7"/>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042B8"/>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410C"/>
    <w:rsid w:val="005A7F37"/>
    <w:rsid w:val="005B4CAC"/>
    <w:rsid w:val="005B602E"/>
    <w:rsid w:val="005C4C5F"/>
    <w:rsid w:val="005D06FE"/>
    <w:rsid w:val="005E1210"/>
    <w:rsid w:val="005E3784"/>
    <w:rsid w:val="005E46E4"/>
    <w:rsid w:val="005F05DB"/>
    <w:rsid w:val="005F2E6B"/>
    <w:rsid w:val="006043A9"/>
    <w:rsid w:val="00610B1B"/>
    <w:rsid w:val="00610F9A"/>
    <w:rsid w:val="006147D2"/>
    <w:rsid w:val="006267C1"/>
    <w:rsid w:val="006316E5"/>
    <w:rsid w:val="00631A43"/>
    <w:rsid w:val="0063312E"/>
    <w:rsid w:val="00633B0A"/>
    <w:rsid w:val="00637F0C"/>
    <w:rsid w:val="00645416"/>
    <w:rsid w:val="006643DC"/>
    <w:rsid w:val="006A02BC"/>
    <w:rsid w:val="006A7B96"/>
    <w:rsid w:val="006B20DC"/>
    <w:rsid w:val="006D4A37"/>
    <w:rsid w:val="006E2522"/>
    <w:rsid w:val="006E3DEC"/>
    <w:rsid w:val="00706604"/>
    <w:rsid w:val="007118C4"/>
    <w:rsid w:val="00723DE0"/>
    <w:rsid w:val="00732595"/>
    <w:rsid w:val="00736681"/>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22DA"/>
    <w:rsid w:val="00AE300F"/>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D777B"/>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302CA"/>
    <w:rsid w:val="00D313E1"/>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DE33C9"/>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0C4F"/>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165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5321">
      <w:bodyDiv w:val="1"/>
      <w:marLeft w:val="0"/>
      <w:marRight w:val="0"/>
      <w:marTop w:val="0"/>
      <w:marBottom w:val="0"/>
      <w:divBdr>
        <w:top w:val="none" w:sz="0" w:space="0" w:color="auto"/>
        <w:left w:val="none" w:sz="0" w:space="0" w:color="auto"/>
        <w:bottom w:val="none" w:sz="0" w:space="0" w:color="auto"/>
        <w:right w:val="none" w:sz="0" w:space="0" w:color="auto"/>
      </w:divBdr>
    </w:div>
    <w:div w:id="1247835782">
      <w:bodyDiv w:val="1"/>
      <w:marLeft w:val="0"/>
      <w:marRight w:val="0"/>
      <w:marTop w:val="0"/>
      <w:marBottom w:val="0"/>
      <w:divBdr>
        <w:top w:val="none" w:sz="0" w:space="0" w:color="auto"/>
        <w:left w:val="none" w:sz="0" w:space="0" w:color="auto"/>
        <w:bottom w:val="none" w:sz="0" w:space="0" w:color="auto"/>
        <w:right w:val="none" w:sz="0" w:space="0" w:color="auto"/>
      </w:divBdr>
    </w:div>
    <w:div w:id="15587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hn.aveson@bankofengland.co.uk"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6636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2024-07-05T13:58:00Z</dcterms:created>
  <dcterms:modified xsi:type="dcterms:W3CDTF">2024-07-05T13:59:00Z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