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622AD1E8" w14:textId="6D371141" w:rsidR="001653F7" w:rsidRPr="005A410C" w:rsidRDefault="001653F7" w:rsidP="008438AF">
      <w:pPr>
        <w:rPr>
          <w:color w:val="0070C0"/>
          <w:szCs w:val="24"/>
          <w:lang w:val="en-GB"/>
        </w:rPr>
      </w:pPr>
      <w:r w:rsidRPr="005A410C">
        <w:rPr>
          <w:color w:val="0070C0"/>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4B1A6AF" w14:textId="2A94F228" w:rsidR="001653F7" w:rsidRPr="005A410C" w:rsidRDefault="001653F7" w:rsidP="008438AF">
      <w:pPr>
        <w:rPr>
          <w:color w:val="0070C0"/>
          <w:szCs w:val="24"/>
          <w:lang w:val="en-GB"/>
        </w:rPr>
      </w:pPr>
      <w:r w:rsidRPr="005A410C">
        <w:rPr>
          <w:color w:val="0070C0"/>
          <w:szCs w:val="24"/>
          <w:lang w:val="en-GB"/>
        </w:rPr>
        <w:t xml:space="preserve">John Aveson </w:t>
      </w:r>
      <w:hyperlink r:id="rId10" w:history="1">
        <w:r w:rsidRPr="005A410C">
          <w:rPr>
            <w:rStyle w:val="Hyperlink"/>
            <w:color w:val="0070C0"/>
            <w:szCs w:val="24"/>
            <w:lang w:val="en-GB"/>
          </w:rPr>
          <w:t>john.aveson@bankofengland.co.uk</w:t>
        </w:r>
      </w:hyperlink>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E0EA3FD" w:rsidR="00854FA6" w:rsidRDefault="00854FA6" w:rsidP="00854FA6">
      <w:pPr>
        <w:rPr>
          <w:szCs w:val="24"/>
          <w:lang w:val="en-GB"/>
        </w:rPr>
      </w:pPr>
      <w:r>
        <w:rPr>
          <w:szCs w:val="24"/>
          <w:lang w:val="en-GB"/>
        </w:rPr>
        <w:t>The submitter is invited to carefully examine whether the change may have an impact on other messages that come into play earlier or later in the transaction chain or on other messages that also use message components that this change request may impact.</w:t>
      </w:r>
    </w:p>
    <w:p w14:paraId="43B27537" w14:textId="77777777" w:rsidR="005A410C" w:rsidRPr="005A410C" w:rsidRDefault="005A410C" w:rsidP="005A410C">
      <w:pPr>
        <w:rPr>
          <w:bCs/>
          <w:color w:val="0070C0"/>
          <w:lang w:val="en-GB"/>
        </w:rPr>
      </w:pPr>
      <w:r w:rsidRPr="005A410C">
        <w:rPr>
          <w:bCs/>
          <w:color w:val="0070C0"/>
          <w:lang w:val="en-GB"/>
        </w:rPr>
        <w:t>auth.059.001.01</w:t>
      </w:r>
    </w:p>
    <w:p w14:paraId="3DF38BC3" w14:textId="3047A1E3" w:rsidR="005A410C" w:rsidRDefault="005A410C" w:rsidP="005A410C">
      <w:pPr>
        <w:rPr>
          <w:bCs/>
          <w:color w:val="0070C0"/>
          <w:lang w:val="en-GB"/>
        </w:rPr>
      </w:pPr>
      <w:r w:rsidRPr="005A410C">
        <w:rPr>
          <w:bCs/>
          <w:color w:val="0070C0"/>
          <w:lang w:val="en-GB"/>
        </w:rPr>
        <w:t>CCPIncomeStatementAndCapitalAdequacyReportV01</w:t>
      </w:r>
    </w:p>
    <w:p w14:paraId="7A3CE6F9" w14:textId="77777777" w:rsidR="003042B8" w:rsidRDefault="003042B8" w:rsidP="005A410C">
      <w:pPr>
        <w:rPr>
          <w:bCs/>
          <w:color w:val="0070C0"/>
          <w:lang w:val="en-GB"/>
        </w:rPr>
      </w:pPr>
    </w:p>
    <w:p w14:paraId="7DAF6DEE" w14:textId="4A05DC5A" w:rsidR="003042B8" w:rsidRDefault="003042B8" w:rsidP="005A410C">
      <w:pPr>
        <w:rPr>
          <w:bCs/>
          <w:color w:val="0070C0"/>
          <w:lang w:val="en-GB"/>
        </w:rPr>
      </w:pPr>
      <w:r>
        <w:rPr>
          <w:bCs/>
          <w:color w:val="0070C0"/>
          <w:lang w:val="en-GB"/>
        </w:rPr>
        <w:t>auth.054.001.01</w:t>
      </w:r>
    </w:p>
    <w:p w14:paraId="74A15ABD" w14:textId="0950316B" w:rsidR="003042B8" w:rsidRPr="005A410C" w:rsidRDefault="003042B8" w:rsidP="00D178A5">
      <w:pPr>
        <w:tabs>
          <w:tab w:val="left" w:pos="6420"/>
        </w:tabs>
        <w:rPr>
          <w:bCs/>
          <w:color w:val="0070C0"/>
          <w:lang w:val="en-GB"/>
        </w:rPr>
      </w:pPr>
      <w:r>
        <w:rPr>
          <w:bCs/>
          <w:color w:val="0070C0"/>
          <w:lang w:val="en-GB"/>
        </w:rPr>
        <w:t>CCPClearingMemberReportV01</w:t>
      </w:r>
      <w:r w:rsidR="00D178A5">
        <w:rPr>
          <w:bCs/>
          <w:color w:val="0070C0"/>
          <w:lang w:val="en-GB"/>
        </w:rPr>
        <w:tab/>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lastRenderedPageBreak/>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3183B4F6" w14:textId="77777777" w:rsidR="005A410C" w:rsidRDefault="000408BA" w:rsidP="000408BA">
      <w:r>
        <w:t>Change requests may not lead to creation of new messages. In such cases, a 'business justification' for development of new candidate ISO 20022 messages must be introduced by a submitting organization that is ready to develop the new messages.</w:t>
      </w:r>
    </w:p>
    <w:p w14:paraId="7939DBFB" w14:textId="2B5D95FF" w:rsidR="000408BA" w:rsidRDefault="005A410C" w:rsidP="000408BA">
      <w:pPr>
        <w:rPr>
          <w:bCs/>
          <w:color w:val="0070C0"/>
          <w:lang w:val="en-GB"/>
        </w:rPr>
      </w:pPr>
      <w:r w:rsidRPr="005A410C">
        <w:rPr>
          <w:bCs/>
          <w:color w:val="0070C0"/>
          <w:lang w:val="en-GB"/>
        </w:rPr>
        <w:t>The proposed change</w:t>
      </w:r>
      <w:r w:rsidR="000408BA" w:rsidRPr="005A410C">
        <w:rPr>
          <w:bCs/>
          <w:color w:val="0070C0"/>
          <w:lang w:val="en-GB"/>
        </w:rPr>
        <w:t xml:space="preserve"> </w:t>
      </w:r>
      <w:r>
        <w:rPr>
          <w:bCs/>
          <w:color w:val="0070C0"/>
          <w:lang w:val="en-GB"/>
        </w:rPr>
        <w:t xml:space="preserve">looks at the IncomeStatement1 complex type. The intent is to add a clearing member id to break down the </w:t>
      </w:r>
      <w:proofErr w:type="spellStart"/>
      <w:r>
        <w:rPr>
          <w:bCs/>
          <w:color w:val="0070C0"/>
          <w:lang w:val="en-GB"/>
        </w:rPr>
        <w:t>ClrFees</w:t>
      </w:r>
      <w:proofErr w:type="spellEnd"/>
      <w:r>
        <w:rPr>
          <w:bCs/>
          <w:color w:val="0070C0"/>
          <w:lang w:val="en-GB"/>
        </w:rPr>
        <w:t xml:space="preserve"> by </w:t>
      </w:r>
      <w:r w:rsidR="003042B8">
        <w:rPr>
          <w:bCs/>
          <w:color w:val="0070C0"/>
          <w:lang w:val="en-GB"/>
        </w:rPr>
        <w:t>the clearing member from whom the fee income is being received.</w:t>
      </w:r>
    </w:p>
    <w:p w14:paraId="5E64940D" w14:textId="36661F04" w:rsidR="003042B8" w:rsidRPr="005A410C" w:rsidRDefault="003042B8" w:rsidP="000408BA">
      <w:pPr>
        <w:rPr>
          <w:bCs/>
          <w:color w:val="0070C0"/>
          <w:lang w:val="en-GB"/>
        </w:rPr>
      </w:pPr>
      <w:r>
        <w:rPr>
          <w:bCs/>
          <w:color w:val="0070C0"/>
          <w:lang w:val="en-GB"/>
        </w:rPr>
        <w:t xml:space="preserve">The proposal would be to add a new type of ‘Clearing Fee’ which has both </w:t>
      </w:r>
      <w:proofErr w:type="spellStart"/>
      <w:r>
        <w:rPr>
          <w:bCs/>
          <w:color w:val="0070C0"/>
          <w:lang w:val="en-GB"/>
        </w:rPr>
        <w:t>ActiveCurrencyAndAmount</w:t>
      </w:r>
      <w:proofErr w:type="spellEnd"/>
      <w:r>
        <w:rPr>
          <w:bCs/>
          <w:color w:val="0070C0"/>
          <w:lang w:val="en-GB"/>
        </w:rPr>
        <w:t xml:space="preserve"> and a clearing member id field which would have type </w:t>
      </w:r>
      <w:r w:rsidRPr="003042B8">
        <w:rPr>
          <w:bCs/>
          <w:color w:val="0070C0"/>
          <w:lang w:val="en-GB"/>
        </w:rPr>
        <w:t>PartyIdentification118Choice</w:t>
      </w:r>
      <w:r>
        <w:rPr>
          <w:bCs/>
          <w:color w:val="0070C0"/>
          <w:lang w:val="en-GB"/>
        </w:rPr>
        <w:t xml:space="preserve"> for consistency with the CCPClearingMemberReportV01.</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0D27A3CC" w14:textId="016A3329" w:rsidR="003042B8" w:rsidRPr="005A410C" w:rsidRDefault="003042B8" w:rsidP="003042B8">
      <w:pPr>
        <w:rPr>
          <w:bCs/>
          <w:color w:val="0070C0"/>
          <w:lang w:val="en-GB"/>
        </w:rPr>
      </w:pPr>
      <w:r>
        <w:rPr>
          <w:bCs/>
          <w:color w:val="0070C0"/>
          <w:lang w:val="en-GB"/>
        </w:rPr>
        <w:t>The change is motivated by a supervisory need to understand from which jurisdictions clearing fees are paid to the CCP.</w:t>
      </w:r>
    </w:p>
    <w:p w14:paraId="27AE68FC" w14:textId="77777777" w:rsidR="003042B8" w:rsidRDefault="003042B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4EB069D0" w14:textId="56204C59" w:rsidR="003042B8" w:rsidRPr="003042B8" w:rsidRDefault="003042B8" w:rsidP="00783891">
      <w:pPr>
        <w:rPr>
          <w:color w:val="0070C0"/>
          <w:lang w:val="en-GB"/>
        </w:rPr>
      </w:pPr>
      <w:r w:rsidRPr="003042B8">
        <w:rPr>
          <w:color w:val="0070C0"/>
          <w:lang w:val="en-GB"/>
        </w:rPr>
        <w:t>The desired outcome is shown alongside the present state below:</w:t>
      </w:r>
    </w:p>
    <w:tbl>
      <w:tblPr>
        <w:tblW w:w="3240" w:type="dxa"/>
        <w:tblInd w:w="108" w:type="dxa"/>
        <w:tblLook w:val="04A0" w:firstRow="1" w:lastRow="0" w:firstColumn="1" w:lastColumn="0" w:noHBand="0" w:noVBand="1"/>
      </w:tblPr>
      <w:tblGrid>
        <w:gridCol w:w="867"/>
        <w:gridCol w:w="1212"/>
        <w:gridCol w:w="1195"/>
      </w:tblGrid>
      <w:tr w:rsidR="003042B8" w:rsidRPr="003042B8" w14:paraId="000A11BB" w14:textId="77777777" w:rsidTr="003042B8">
        <w:trPr>
          <w:trHeight w:val="300"/>
        </w:trPr>
        <w:tc>
          <w:tcPr>
            <w:tcW w:w="3240" w:type="dxa"/>
            <w:gridSpan w:val="3"/>
            <w:tcBorders>
              <w:top w:val="nil"/>
              <w:left w:val="nil"/>
              <w:bottom w:val="nil"/>
              <w:right w:val="nil"/>
            </w:tcBorders>
            <w:shd w:val="clear" w:color="auto" w:fill="auto"/>
            <w:noWrap/>
            <w:vAlign w:val="bottom"/>
            <w:hideMark/>
          </w:tcPr>
          <w:p w14:paraId="3A58E9B2"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Present implementation</w:t>
            </w:r>
          </w:p>
        </w:tc>
      </w:tr>
      <w:tr w:rsidR="003042B8" w:rsidRPr="003042B8" w14:paraId="41242501" w14:textId="77777777" w:rsidTr="003042B8">
        <w:trPr>
          <w:trHeight w:val="300"/>
        </w:trPr>
        <w:tc>
          <w:tcPr>
            <w:tcW w:w="833" w:type="dxa"/>
            <w:tcBorders>
              <w:top w:val="nil"/>
              <w:left w:val="nil"/>
              <w:bottom w:val="nil"/>
              <w:right w:val="nil"/>
            </w:tcBorders>
            <w:shd w:val="clear" w:color="auto" w:fill="auto"/>
            <w:noWrap/>
            <w:vAlign w:val="bottom"/>
            <w:hideMark/>
          </w:tcPr>
          <w:p w14:paraId="1D56F207" w14:textId="77777777" w:rsidR="003042B8" w:rsidRPr="003042B8" w:rsidRDefault="003042B8" w:rsidP="003042B8">
            <w:pPr>
              <w:spacing w:before="0"/>
              <w:rPr>
                <w:rFonts w:ascii="Calibri" w:eastAsia="Times New Roman" w:hAnsi="Calibri" w:cs="Calibri"/>
                <w:color w:val="0070C0"/>
                <w:sz w:val="22"/>
                <w:szCs w:val="22"/>
                <w:lang w:val="en-GB" w:eastAsia="en-GB"/>
              </w:rPr>
            </w:pPr>
            <w:proofErr w:type="spellStart"/>
            <w:r w:rsidRPr="003042B8">
              <w:rPr>
                <w:rFonts w:ascii="Calibri" w:eastAsia="Times New Roman" w:hAnsi="Calibri" w:cs="Calibri"/>
                <w:color w:val="0070C0"/>
                <w:sz w:val="22"/>
                <w:szCs w:val="22"/>
                <w:lang w:val="en-GB" w:eastAsia="en-GB"/>
              </w:rPr>
              <w:t>ClrFees</w:t>
            </w:r>
            <w:proofErr w:type="spellEnd"/>
          </w:p>
        </w:tc>
        <w:tc>
          <w:tcPr>
            <w:tcW w:w="2407" w:type="dxa"/>
            <w:gridSpan w:val="2"/>
            <w:tcBorders>
              <w:top w:val="nil"/>
              <w:left w:val="nil"/>
              <w:bottom w:val="nil"/>
              <w:right w:val="nil"/>
            </w:tcBorders>
            <w:shd w:val="clear" w:color="auto" w:fill="auto"/>
            <w:noWrap/>
            <w:vAlign w:val="bottom"/>
            <w:hideMark/>
          </w:tcPr>
          <w:p w14:paraId="2B8FA7C6" w14:textId="77777777" w:rsidR="003042B8" w:rsidRPr="003042B8" w:rsidRDefault="003042B8" w:rsidP="003042B8">
            <w:pPr>
              <w:spacing w:before="0"/>
              <w:rPr>
                <w:rFonts w:ascii="Calibri" w:eastAsia="Times New Roman" w:hAnsi="Calibri" w:cs="Calibri"/>
                <w:color w:val="0070C0"/>
                <w:sz w:val="22"/>
                <w:szCs w:val="22"/>
                <w:lang w:val="en-GB" w:eastAsia="en-GB"/>
              </w:rPr>
            </w:pPr>
            <w:proofErr w:type="spellStart"/>
            <w:r w:rsidRPr="003042B8">
              <w:rPr>
                <w:rFonts w:ascii="Calibri" w:eastAsia="Times New Roman" w:hAnsi="Calibri" w:cs="Calibri"/>
                <w:color w:val="0070C0"/>
                <w:sz w:val="22"/>
                <w:szCs w:val="22"/>
                <w:lang w:val="en-GB" w:eastAsia="en-GB"/>
              </w:rPr>
              <w:t>ClrFeesCcy</w:t>
            </w:r>
            <w:proofErr w:type="spellEnd"/>
          </w:p>
        </w:tc>
      </w:tr>
      <w:tr w:rsidR="003042B8" w:rsidRPr="003042B8" w14:paraId="40FB4D99" w14:textId="77777777" w:rsidTr="003042B8">
        <w:trPr>
          <w:trHeight w:val="300"/>
        </w:trPr>
        <w:tc>
          <w:tcPr>
            <w:tcW w:w="833" w:type="dxa"/>
            <w:tcBorders>
              <w:top w:val="nil"/>
              <w:left w:val="nil"/>
              <w:bottom w:val="nil"/>
              <w:right w:val="nil"/>
            </w:tcBorders>
            <w:shd w:val="clear" w:color="auto" w:fill="auto"/>
            <w:noWrap/>
            <w:vAlign w:val="bottom"/>
            <w:hideMark/>
          </w:tcPr>
          <w:p w14:paraId="22AC7B8B" w14:textId="77777777" w:rsidR="003042B8" w:rsidRPr="003042B8" w:rsidRDefault="003042B8" w:rsidP="003042B8">
            <w:pPr>
              <w:spacing w:before="0"/>
              <w:jc w:val="right"/>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100</w:t>
            </w:r>
          </w:p>
        </w:tc>
        <w:tc>
          <w:tcPr>
            <w:tcW w:w="1212" w:type="dxa"/>
            <w:tcBorders>
              <w:top w:val="nil"/>
              <w:left w:val="nil"/>
              <w:bottom w:val="nil"/>
              <w:right w:val="nil"/>
            </w:tcBorders>
            <w:shd w:val="clear" w:color="auto" w:fill="auto"/>
            <w:noWrap/>
            <w:vAlign w:val="bottom"/>
            <w:hideMark/>
          </w:tcPr>
          <w:p w14:paraId="4E0C57B7"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GBP</w:t>
            </w:r>
          </w:p>
        </w:tc>
        <w:tc>
          <w:tcPr>
            <w:tcW w:w="1195" w:type="dxa"/>
            <w:tcBorders>
              <w:top w:val="nil"/>
              <w:left w:val="nil"/>
              <w:bottom w:val="nil"/>
              <w:right w:val="nil"/>
            </w:tcBorders>
            <w:shd w:val="clear" w:color="auto" w:fill="auto"/>
            <w:noWrap/>
            <w:vAlign w:val="bottom"/>
            <w:hideMark/>
          </w:tcPr>
          <w:p w14:paraId="4A8DE79D" w14:textId="77777777" w:rsidR="003042B8" w:rsidRPr="003042B8" w:rsidRDefault="003042B8" w:rsidP="003042B8">
            <w:pPr>
              <w:spacing w:before="0"/>
              <w:rPr>
                <w:rFonts w:ascii="Calibri" w:eastAsia="Times New Roman" w:hAnsi="Calibri" w:cs="Calibri"/>
                <w:color w:val="0070C0"/>
                <w:sz w:val="22"/>
                <w:szCs w:val="22"/>
                <w:lang w:val="en-GB" w:eastAsia="en-GB"/>
              </w:rPr>
            </w:pPr>
          </w:p>
        </w:tc>
      </w:tr>
      <w:tr w:rsidR="003042B8" w:rsidRPr="003042B8" w14:paraId="4D77BA0F" w14:textId="77777777" w:rsidTr="003042B8">
        <w:trPr>
          <w:trHeight w:val="300"/>
        </w:trPr>
        <w:tc>
          <w:tcPr>
            <w:tcW w:w="833" w:type="dxa"/>
            <w:tcBorders>
              <w:top w:val="nil"/>
              <w:left w:val="nil"/>
              <w:bottom w:val="nil"/>
              <w:right w:val="nil"/>
            </w:tcBorders>
            <w:shd w:val="clear" w:color="auto" w:fill="auto"/>
            <w:noWrap/>
            <w:vAlign w:val="bottom"/>
            <w:hideMark/>
          </w:tcPr>
          <w:p w14:paraId="03DCBF14" w14:textId="77777777" w:rsidR="003042B8" w:rsidRPr="003042B8" w:rsidRDefault="003042B8" w:rsidP="003042B8">
            <w:pPr>
              <w:spacing w:before="0"/>
              <w:rPr>
                <w:rFonts w:eastAsia="Times New Roman"/>
                <w:color w:val="0070C0"/>
                <w:sz w:val="20"/>
                <w:lang w:val="en-GB" w:eastAsia="en-GB"/>
              </w:rPr>
            </w:pPr>
          </w:p>
        </w:tc>
        <w:tc>
          <w:tcPr>
            <w:tcW w:w="1212" w:type="dxa"/>
            <w:tcBorders>
              <w:top w:val="nil"/>
              <w:left w:val="nil"/>
              <w:bottom w:val="nil"/>
              <w:right w:val="nil"/>
            </w:tcBorders>
            <w:shd w:val="clear" w:color="auto" w:fill="auto"/>
            <w:noWrap/>
            <w:vAlign w:val="bottom"/>
            <w:hideMark/>
          </w:tcPr>
          <w:p w14:paraId="469B033C" w14:textId="77777777" w:rsidR="003042B8" w:rsidRPr="003042B8" w:rsidRDefault="003042B8" w:rsidP="003042B8">
            <w:pPr>
              <w:spacing w:before="0"/>
              <w:rPr>
                <w:rFonts w:eastAsia="Times New Roman"/>
                <w:color w:val="0070C0"/>
                <w:sz w:val="20"/>
                <w:lang w:val="en-GB" w:eastAsia="en-GB"/>
              </w:rPr>
            </w:pPr>
          </w:p>
        </w:tc>
        <w:tc>
          <w:tcPr>
            <w:tcW w:w="1195" w:type="dxa"/>
            <w:tcBorders>
              <w:top w:val="nil"/>
              <w:left w:val="nil"/>
              <w:bottom w:val="nil"/>
              <w:right w:val="nil"/>
            </w:tcBorders>
            <w:shd w:val="clear" w:color="auto" w:fill="auto"/>
            <w:noWrap/>
            <w:vAlign w:val="bottom"/>
            <w:hideMark/>
          </w:tcPr>
          <w:p w14:paraId="43D7EBA4" w14:textId="77777777" w:rsidR="003042B8" w:rsidRPr="003042B8" w:rsidRDefault="003042B8" w:rsidP="003042B8">
            <w:pPr>
              <w:spacing w:before="0"/>
              <w:rPr>
                <w:rFonts w:eastAsia="Times New Roman"/>
                <w:color w:val="0070C0"/>
                <w:sz w:val="20"/>
                <w:lang w:val="en-GB" w:eastAsia="en-GB"/>
              </w:rPr>
            </w:pPr>
          </w:p>
        </w:tc>
      </w:tr>
      <w:tr w:rsidR="003042B8" w:rsidRPr="003042B8" w14:paraId="2C40B4AD" w14:textId="77777777" w:rsidTr="003042B8">
        <w:trPr>
          <w:trHeight w:val="300"/>
        </w:trPr>
        <w:tc>
          <w:tcPr>
            <w:tcW w:w="3240" w:type="dxa"/>
            <w:gridSpan w:val="3"/>
            <w:tcBorders>
              <w:top w:val="nil"/>
              <w:left w:val="nil"/>
              <w:bottom w:val="nil"/>
              <w:right w:val="nil"/>
            </w:tcBorders>
            <w:shd w:val="clear" w:color="auto" w:fill="auto"/>
            <w:noWrap/>
            <w:vAlign w:val="bottom"/>
            <w:hideMark/>
          </w:tcPr>
          <w:p w14:paraId="0529B63B"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Proposed implementation</w:t>
            </w:r>
          </w:p>
        </w:tc>
      </w:tr>
      <w:tr w:rsidR="003042B8" w:rsidRPr="003042B8" w14:paraId="3F5808DA" w14:textId="77777777" w:rsidTr="003042B8">
        <w:trPr>
          <w:trHeight w:val="300"/>
        </w:trPr>
        <w:tc>
          <w:tcPr>
            <w:tcW w:w="833" w:type="dxa"/>
            <w:tcBorders>
              <w:top w:val="nil"/>
              <w:left w:val="nil"/>
              <w:bottom w:val="nil"/>
              <w:right w:val="nil"/>
            </w:tcBorders>
            <w:shd w:val="clear" w:color="auto" w:fill="auto"/>
            <w:noWrap/>
            <w:vAlign w:val="bottom"/>
            <w:hideMark/>
          </w:tcPr>
          <w:p w14:paraId="49601003" w14:textId="77777777" w:rsidR="003042B8" w:rsidRPr="003042B8" w:rsidRDefault="003042B8" w:rsidP="003042B8">
            <w:pPr>
              <w:spacing w:before="0"/>
              <w:rPr>
                <w:rFonts w:ascii="Calibri" w:eastAsia="Times New Roman" w:hAnsi="Calibri" w:cs="Calibri"/>
                <w:color w:val="0070C0"/>
                <w:sz w:val="22"/>
                <w:szCs w:val="22"/>
                <w:lang w:val="en-GB" w:eastAsia="en-GB"/>
              </w:rPr>
            </w:pPr>
            <w:proofErr w:type="spellStart"/>
            <w:r w:rsidRPr="003042B8">
              <w:rPr>
                <w:rFonts w:ascii="Calibri" w:eastAsia="Times New Roman" w:hAnsi="Calibri" w:cs="Calibri"/>
                <w:color w:val="0070C0"/>
                <w:sz w:val="22"/>
                <w:szCs w:val="22"/>
                <w:lang w:val="en-GB" w:eastAsia="en-GB"/>
              </w:rPr>
              <w:t>ClrFees</w:t>
            </w:r>
            <w:proofErr w:type="spellEnd"/>
          </w:p>
        </w:tc>
        <w:tc>
          <w:tcPr>
            <w:tcW w:w="1212" w:type="dxa"/>
            <w:tcBorders>
              <w:top w:val="nil"/>
              <w:left w:val="nil"/>
              <w:bottom w:val="nil"/>
              <w:right w:val="nil"/>
            </w:tcBorders>
            <w:shd w:val="clear" w:color="auto" w:fill="auto"/>
            <w:noWrap/>
            <w:vAlign w:val="bottom"/>
            <w:hideMark/>
          </w:tcPr>
          <w:p w14:paraId="055321A7" w14:textId="77777777" w:rsidR="003042B8" w:rsidRPr="003042B8" w:rsidRDefault="003042B8" w:rsidP="003042B8">
            <w:pPr>
              <w:spacing w:before="0"/>
              <w:rPr>
                <w:rFonts w:ascii="Calibri" w:eastAsia="Times New Roman" w:hAnsi="Calibri" w:cs="Calibri"/>
                <w:color w:val="0070C0"/>
                <w:sz w:val="22"/>
                <w:szCs w:val="22"/>
                <w:lang w:val="en-GB" w:eastAsia="en-GB"/>
              </w:rPr>
            </w:pPr>
            <w:proofErr w:type="spellStart"/>
            <w:r w:rsidRPr="003042B8">
              <w:rPr>
                <w:rFonts w:ascii="Calibri" w:eastAsia="Times New Roman" w:hAnsi="Calibri" w:cs="Calibri"/>
                <w:color w:val="0070C0"/>
                <w:sz w:val="22"/>
                <w:szCs w:val="22"/>
                <w:lang w:val="en-GB" w:eastAsia="en-GB"/>
              </w:rPr>
              <w:t>ClrFeesCcy</w:t>
            </w:r>
            <w:proofErr w:type="spellEnd"/>
          </w:p>
        </w:tc>
        <w:tc>
          <w:tcPr>
            <w:tcW w:w="1195" w:type="dxa"/>
            <w:tcBorders>
              <w:top w:val="nil"/>
              <w:left w:val="nil"/>
              <w:bottom w:val="nil"/>
              <w:right w:val="nil"/>
            </w:tcBorders>
            <w:shd w:val="clear" w:color="auto" w:fill="auto"/>
            <w:noWrap/>
            <w:vAlign w:val="bottom"/>
            <w:hideMark/>
          </w:tcPr>
          <w:p w14:paraId="613EBFFC" w14:textId="77777777" w:rsidR="003042B8" w:rsidRPr="003042B8" w:rsidRDefault="003042B8" w:rsidP="003042B8">
            <w:pPr>
              <w:spacing w:before="0"/>
              <w:rPr>
                <w:rFonts w:ascii="Calibri" w:eastAsia="Times New Roman" w:hAnsi="Calibri" w:cs="Calibri"/>
                <w:color w:val="0070C0"/>
                <w:sz w:val="22"/>
                <w:szCs w:val="22"/>
                <w:lang w:val="en-GB" w:eastAsia="en-GB"/>
              </w:rPr>
            </w:pPr>
            <w:proofErr w:type="spellStart"/>
            <w:r w:rsidRPr="003042B8">
              <w:rPr>
                <w:rFonts w:ascii="Calibri" w:eastAsia="Times New Roman" w:hAnsi="Calibri" w:cs="Calibri"/>
                <w:color w:val="0070C0"/>
                <w:sz w:val="22"/>
                <w:szCs w:val="22"/>
                <w:lang w:val="en-GB" w:eastAsia="en-GB"/>
              </w:rPr>
              <w:t>MemberId</w:t>
            </w:r>
            <w:proofErr w:type="spellEnd"/>
          </w:p>
        </w:tc>
      </w:tr>
      <w:tr w:rsidR="003042B8" w:rsidRPr="003042B8" w14:paraId="3233854B" w14:textId="77777777" w:rsidTr="003042B8">
        <w:trPr>
          <w:trHeight w:val="300"/>
        </w:trPr>
        <w:tc>
          <w:tcPr>
            <w:tcW w:w="833" w:type="dxa"/>
            <w:tcBorders>
              <w:top w:val="nil"/>
              <w:left w:val="nil"/>
              <w:bottom w:val="nil"/>
              <w:right w:val="nil"/>
            </w:tcBorders>
            <w:shd w:val="clear" w:color="auto" w:fill="auto"/>
            <w:noWrap/>
            <w:vAlign w:val="bottom"/>
            <w:hideMark/>
          </w:tcPr>
          <w:p w14:paraId="2F587906" w14:textId="77777777" w:rsidR="003042B8" w:rsidRPr="003042B8" w:rsidRDefault="003042B8" w:rsidP="003042B8">
            <w:pPr>
              <w:spacing w:before="0"/>
              <w:jc w:val="right"/>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100</w:t>
            </w:r>
          </w:p>
        </w:tc>
        <w:tc>
          <w:tcPr>
            <w:tcW w:w="1212" w:type="dxa"/>
            <w:tcBorders>
              <w:top w:val="nil"/>
              <w:left w:val="nil"/>
              <w:bottom w:val="nil"/>
              <w:right w:val="nil"/>
            </w:tcBorders>
            <w:shd w:val="clear" w:color="auto" w:fill="auto"/>
            <w:noWrap/>
            <w:vAlign w:val="bottom"/>
            <w:hideMark/>
          </w:tcPr>
          <w:p w14:paraId="7027AF3F"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GBP</w:t>
            </w:r>
          </w:p>
        </w:tc>
        <w:tc>
          <w:tcPr>
            <w:tcW w:w="1195" w:type="dxa"/>
            <w:tcBorders>
              <w:top w:val="nil"/>
              <w:left w:val="nil"/>
              <w:bottom w:val="nil"/>
              <w:right w:val="nil"/>
            </w:tcBorders>
            <w:shd w:val="clear" w:color="auto" w:fill="auto"/>
            <w:noWrap/>
            <w:vAlign w:val="bottom"/>
            <w:hideMark/>
          </w:tcPr>
          <w:p w14:paraId="3D7AFC72"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CM1</w:t>
            </w:r>
          </w:p>
        </w:tc>
      </w:tr>
      <w:tr w:rsidR="003042B8" w:rsidRPr="003042B8" w14:paraId="6BC6B114" w14:textId="77777777" w:rsidTr="003042B8">
        <w:trPr>
          <w:trHeight w:val="300"/>
        </w:trPr>
        <w:tc>
          <w:tcPr>
            <w:tcW w:w="833" w:type="dxa"/>
            <w:tcBorders>
              <w:top w:val="nil"/>
              <w:left w:val="nil"/>
              <w:bottom w:val="nil"/>
              <w:right w:val="nil"/>
            </w:tcBorders>
            <w:shd w:val="clear" w:color="auto" w:fill="auto"/>
            <w:noWrap/>
            <w:vAlign w:val="bottom"/>
            <w:hideMark/>
          </w:tcPr>
          <w:p w14:paraId="7D8D6CF4" w14:textId="77777777" w:rsidR="003042B8" w:rsidRPr="003042B8" w:rsidRDefault="003042B8" w:rsidP="003042B8">
            <w:pPr>
              <w:spacing w:before="0"/>
              <w:jc w:val="right"/>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200</w:t>
            </w:r>
          </w:p>
        </w:tc>
        <w:tc>
          <w:tcPr>
            <w:tcW w:w="1212" w:type="dxa"/>
            <w:tcBorders>
              <w:top w:val="nil"/>
              <w:left w:val="nil"/>
              <w:bottom w:val="nil"/>
              <w:right w:val="nil"/>
            </w:tcBorders>
            <w:shd w:val="clear" w:color="auto" w:fill="auto"/>
            <w:noWrap/>
            <w:vAlign w:val="bottom"/>
            <w:hideMark/>
          </w:tcPr>
          <w:p w14:paraId="3599BD42"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EUR</w:t>
            </w:r>
          </w:p>
        </w:tc>
        <w:tc>
          <w:tcPr>
            <w:tcW w:w="1195" w:type="dxa"/>
            <w:tcBorders>
              <w:top w:val="nil"/>
              <w:left w:val="nil"/>
              <w:bottom w:val="nil"/>
              <w:right w:val="nil"/>
            </w:tcBorders>
            <w:shd w:val="clear" w:color="auto" w:fill="auto"/>
            <w:noWrap/>
            <w:vAlign w:val="bottom"/>
            <w:hideMark/>
          </w:tcPr>
          <w:p w14:paraId="65FE671D"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CM2</w:t>
            </w:r>
          </w:p>
        </w:tc>
      </w:tr>
      <w:tr w:rsidR="003042B8" w:rsidRPr="003042B8" w14:paraId="20501603" w14:textId="77777777" w:rsidTr="003042B8">
        <w:trPr>
          <w:trHeight w:val="300"/>
        </w:trPr>
        <w:tc>
          <w:tcPr>
            <w:tcW w:w="833" w:type="dxa"/>
            <w:tcBorders>
              <w:top w:val="nil"/>
              <w:left w:val="nil"/>
              <w:bottom w:val="nil"/>
              <w:right w:val="nil"/>
            </w:tcBorders>
            <w:shd w:val="clear" w:color="auto" w:fill="auto"/>
            <w:noWrap/>
            <w:vAlign w:val="bottom"/>
            <w:hideMark/>
          </w:tcPr>
          <w:p w14:paraId="40843B89" w14:textId="77777777" w:rsidR="003042B8" w:rsidRPr="003042B8" w:rsidRDefault="003042B8" w:rsidP="003042B8">
            <w:pPr>
              <w:spacing w:before="0"/>
              <w:jc w:val="right"/>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300</w:t>
            </w:r>
          </w:p>
        </w:tc>
        <w:tc>
          <w:tcPr>
            <w:tcW w:w="1212" w:type="dxa"/>
            <w:tcBorders>
              <w:top w:val="nil"/>
              <w:left w:val="nil"/>
              <w:bottom w:val="nil"/>
              <w:right w:val="nil"/>
            </w:tcBorders>
            <w:shd w:val="clear" w:color="auto" w:fill="auto"/>
            <w:noWrap/>
            <w:vAlign w:val="bottom"/>
            <w:hideMark/>
          </w:tcPr>
          <w:p w14:paraId="2BECC692"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USD</w:t>
            </w:r>
          </w:p>
        </w:tc>
        <w:tc>
          <w:tcPr>
            <w:tcW w:w="1195" w:type="dxa"/>
            <w:tcBorders>
              <w:top w:val="nil"/>
              <w:left w:val="nil"/>
              <w:bottom w:val="nil"/>
              <w:right w:val="nil"/>
            </w:tcBorders>
            <w:shd w:val="clear" w:color="auto" w:fill="auto"/>
            <w:noWrap/>
            <w:vAlign w:val="bottom"/>
            <w:hideMark/>
          </w:tcPr>
          <w:p w14:paraId="358A93AD" w14:textId="77777777" w:rsidR="003042B8" w:rsidRPr="003042B8" w:rsidRDefault="003042B8" w:rsidP="003042B8">
            <w:pPr>
              <w:spacing w:before="0"/>
              <w:rPr>
                <w:rFonts w:ascii="Calibri" w:eastAsia="Times New Roman" w:hAnsi="Calibri" w:cs="Calibri"/>
                <w:color w:val="0070C0"/>
                <w:sz w:val="22"/>
                <w:szCs w:val="22"/>
                <w:lang w:val="en-GB" w:eastAsia="en-GB"/>
              </w:rPr>
            </w:pPr>
            <w:r w:rsidRPr="003042B8">
              <w:rPr>
                <w:rFonts w:ascii="Calibri" w:eastAsia="Times New Roman" w:hAnsi="Calibri" w:cs="Calibri"/>
                <w:color w:val="0070C0"/>
                <w:sz w:val="22"/>
                <w:szCs w:val="22"/>
                <w:lang w:val="en-GB" w:eastAsia="en-GB"/>
              </w:rPr>
              <w:t>CM3</w:t>
            </w:r>
          </w:p>
        </w:tc>
      </w:tr>
    </w:tbl>
    <w:p w14:paraId="0689D37B" w14:textId="77777777" w:rsidR="003042B8" w:rsidRDefault="003042B8"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5CBDC1F"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4B8E8E50" w:rsidR="00130EB9" w:rsidRPr="00AD7CD5" w:rsidRDefault="00BE08F2"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8842" w14:textId="77777777" w:rsidR="00DF192F" w:rsidRDefault="00DF192F">
      <w:r>
        <w:separator/>
      </w:r>
    </w:p>
  </w:endnote>
  <w:endnote w:type="continuationSeparator" w:id="0">
    <w:p w14:paraId="566E8D4C" w14:textId="77777777" w:rsidR="00DF192F" w:rsidRDefault="00DF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D3F7F99" w:rsidR="00567F13" w:rsidRDefault="009F5F76">
    <w:pPr>
      <w:pStyle w:val="Footer"/>
      <w:rPr>
        <w:rStyle w:val="PageNumber"/>
      </w:rPr>
    </w:pPr>
    <w:r>
      <w:fldChar w:fldCharType="begin"/>
    </w:r>
    <w:r>
      <w:instrText xml:space="preserve"> FILENAME   \* MERGEFORMAT </w:instrText>
    </w:r>
    <w:r>
      <w:fldChar w:fldCharType="separate"/>
    </w:r>
    <w:r>
      <w:rPr>
        <w:noProof/>
      </w:rPr>
      <w:t>CR1409_BoE_Income_Statement_v2.docx</w:t>
    </w:r>
    <w:r>
      <w:rPr>
        <w:noProof/>
      </w:rPr>
      <w:fldChar w:fldCharType="end"/>
    </w:r>
    <w:r w:rsidR="00567F13">
      <w:tab/>
      <w:t>Produced by</w:t>
    </w:r>
    <w:r w:rsidR="00D178A5">
      <w:t xml:space="preserve"> 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396B" w14:textId="77777777" w:rsidR="00DF192F" w:rsidRDefault="00DF192F">
      <w:r>
        <w:separator/>
      </w:r>
    </w:p>
  </w:footnote>
  <w:footnote w:type="continuationSeparator" w:id="0">
    <w:p w14:paraId="2C8044B2" w14:textId="77777777" w:rsidR="00DF192F" w:rsidRDefault="00DF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1948A8C0" w:rsidR="00E74C04" w:rsidRPr="00801493" w:rsidRDefault="00801493">
    <w:pPr>
      <w:pStyle w:val="Header"/>
      <w:rPr>
        <w:lang w:val="fr-BE"/>
      </w:rPr>
    </w:pPr>
    <w:r>
      <w:rPr>
        <w:lang w:val="fr-BE"/>
      </w:rPr>
      <w:t xml:space="preserve">RA ID : </w:t>
    </w:r>
    <w:r w:rsidR="00D178A5">
      <w:rPr>
        <w:lang w:val="fr-BE"/>
      </w:rPr>
      <w:t>CR1409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653F7"/>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042B8"/>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410C"/>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F5F76"/>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08F2"/>
    <w:rsid w:val="00C06496"/>
    <w:rsid w:val="00C122AE"/>
    <w:rsid w:val="00C17665"/>
    <w:rsid w:val="00C32DF8"/>
    <w:rsid w:val="00C40729"/>
    <w:rsid w:val="00C41DDB"/>
    <w:rsid w:val="00C46C5A"/>
    <w:rsid w:val="00C52ABE"/>
    <w:rsid w:val="00C55C02"/>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178A5"/>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F192F"/>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16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5321">
      <w:bodyDiv w:val="1"/>
      <w:marLeft w:val="0"/>
      <w:marRight w:val="0"/>
      <w:marTop w:val="0"/>
      <w:marBottom w:val="0"/>
      <w:divBdr>
        <w:top w:val="none" w:sz="0" w:space="0" w:color="auto"/>
        <w:left w:val="none" w:sz="0" w:space="0" w:color="auto"/>
        <w:bottom w:val="none" w:sz="0" w:space="0" w:color="auto"/>
        <w:right w:val="none" w:sz="0" w:space="0" w:color="auto"/>
      </w:divBdr>
    </w:div>
    <w:div w:id="12478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hn.aveson@bankofengland.co.uk"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6766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2024-07-05T13:58:00Z</dcterms:created>
  <dcterms:modified xsi:type="dcterms:W3CDTF">2024-07-05T13:58:00Z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