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1CC1" w14:textId="77777777" w:rsidR="00607D1E" w:rsidRDefault="00607D1E" w:rsidP="00865C2F">
      <w:pPr>
        <w:jc w:val="center"/>
        <w:rPr>
          <w:b/>
          <w:smallCaps/>
          <w:szCs w:val="24"/>
          <w:lang w:val="en-GB"/>
        </w:rPr>
      </w:pPr>
      <w:bookmarkStart w:id="0" w:name="_Hlk149843288"/>
      <w:bookmarkEnd w:id="0"/>
    </w:p>
    <w:p w14:paraId="456B6FCB" w14:textId="5CDFD354" w:rsidR="00865C2F" w:rsidRPr="00865C2F" w:rsidRDefault="00DD37B4" w:rsidP="00865C2F">
      <w:pPr>
        <w:jc w:val="center"/>
        <w:rPr>
          <w:b/>
          <w:smallCaps/>
          <w:szCs w:val="24"/>
          <w:lang w:val="en-GB"/>
        </w:rPr>
      </w:pPr>
      <w:r>
        <w:rPr>
          <w:b/>
          <w:smallCaps/>
          <w:szCs w:val="24"/>
          <w:lang w:val="en-GB"/>
        </w:rPr>
        <w:t>Maintenance Change Request</w:t>
      </w:r>
    </w:p>
    <w:p w14:paraId="45AC864D"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06A923B9" w14:textId="77777777" w:rsidR="004202D2" w:rsidRDefault="004202D2" w:rsidP="00865C2F">
      <w:pPr>
        <w:rPr>
          <w:i/>
          <w:szCs w:val="24"/>
          <w:lang w:val="en-GB"/>
        </w:rPr>
      </w:pPr>
    </w:p>
    <w:p w14:paraId="21CC2B54"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0A6F50E" w14:textId="77777777" w:rsidR="00577BCC" w:rsidRDefault="00EA1D66" w:rsidP="00577BCC">
      <w:pPr>
        <w:rPr>
          <w:szCs w:val="24"/>
          <w:lang w:val="en-GB"/>
        </w:rPr>
      </w:pPr>
      <w:r>
        <w:rPr>
          <w:szCs w:val="24"/>
          <w:lang w:val="en-GB"/>
        </w:rPr>
        <w:t>European Securities and Markets Authority</w:t>
      </w:r>
      <w:r w:rsidR="00577821">
        <w:rPr>
          <w:szCs w:val="24"/>
          <w:lang w:val="en-GB"/>
        </w:rPr>
        <w:t xml:space="preserve"> (ESMA)</w:t>
      </w:r>
    </w:p>
    <w:p w14:paraId="1013F521" w14:textId="200A5060" w:rsidR="00EA1D66" w:rsidRPr="00F3662F" w:rsidRDefault="00906A73" w:rsidP="00577BCC">
      <w:pPr>
        <w:rPr>
          <w:szCs w:val="24"/>
          <w:highlight w:val="yellow"/>
          <w:lang w:val="en-GB"/>
        </w:rPr>
      </w:pPr>
      <w:r w:rsidRPr="00906A73">
        <w:rPr>
          <w:szCs w:val="24"/>
          <w:lang w:val="en-GB"/>
        </w:rPr>
        <w:t xml:space="preserve">201-203 rue de </w:t>
      </w:r>
      <w:proofErr w:type="spellStart"/>
      <w:r w:rsidRPr="00906A73">
        <w:rPr>
          <w:szCs w:val="24"/>
          <w:lang w:val="en-GB"/>
        </w:rPr>
        <w:t>Bercy</w:t>
      </w:r>
      <w:proofErr w:type="spellEnd"/>
    </w:p>
    <w:p w14:paraId="68AF9AB3" w14:textId="251065E5" w:rsidR="00EA1D66" w:rsidRDefault="00EA1D66" w:rsidP="00577BCC">
      <w:pPr>
        <w:rPr>
          <w:szCs w:val="24"/>
          <w:lang w:val="en-GB"/>
        </w:rPr>
      </w:pPr>
      <w:r w:rsidRPr="00906A73">
        <w:rPr>
          <w:szCs w:val="24"/>
          <w:lang w:val="en-GB"/>
        </w:rPr>
        <w:t>750</w:t>
      </w:r>
      <w:r w:rsidR="00906A73" w:rsidRPr="00906A73">
        <w:rPr>
          <w:szCs w:val="24"/>
          <w:lang w:val="en-GB"/>
        </w:rPr>
        <w:t>12</w:t>
      </w:r>
      <w:r w:rsidRPr="00906A73">
        <w:rPr>
          <w:szCs w:val="24"/>
          <w:lang w:val="en-GB"/>
        </w:rPr>
        <w:t xml:space="preserve"> Paris</w:t>
      </w:r>
    </w:p>
    <w:p w14:paraId="33CEA935" w14:textId="77777777" w:rsidR="00EA1D66" w:rsidRDefault="00EA1D66" w:rsidP="00577BCC">
      <w:pPr>
        <w:rPr>
          <w:szCs w:val="24"/>
          <w:lang w:val="en-GB"/>
        </w:rPr>
      </w:pPr>
      <w:r>
        <w:rPr>
          <w:szCs w:val="24"/>
          <w:lang w:val="en-GB"/>
        </w:rPr>
        <w:t xml:space="preserve">France </w:t>
      </w:r>
    </w:p>
    <w:p w14:paraId="1A3E2A7A" w14:textId="77777777" w:rsidR="00D123C1" w:rsidRPr="00D123C1" w:rsidRDefault="00D123C1" w:rsidP="00865C2F">
      <w:pPr>
        <w:rPr>
          <w:szCs w:val="24"/>
          <w:lang w:val="en-GB"/>
        </w:rPr>
      </w:pPr>
    </w:p>
    <w:p w14:paraId="5DF04417"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657101EA" w14:textId="5AD393DC" w:rsidR="00EA5127" w:rsidRDefault="003B1C3C" w:rsidP="00865C2F">
      <w:pPr>
        <w:rPr>
          <w:szCs w:val="24"/>
          <w:lang w:val="en-GB"/>
        </w:rPr>
      </w:pPr>
      <w:r w:rsidRPr="003B1C3C">
        <w:rPr>
          <w:szCs w:val="24"/>
          <w:lang w:val="en-GB"/>
        </w:rPr>
        <w:t>auth.033.001.02</w:t>
      </w:r>
      <w:r w:rsidR="00EA5127" w:rsidRPr="00EA5127">
        <w:rPr>
          <w:szCs w:val="24"/>
          <w:lang w:val="en-GB"/>
        </w:rPr>
        <w:t xml:space="preserve"> </w:t>
      </w:r>
      <w:r w:rsidR="00100D82">
        <w:rPr>
          <w:szCs w:val="24"/>
          <w:lang w:val="en-GB"/>
        </w:rPr>
        <w:t>(</w:t>
      </w:r>
      <w:r w:rsidR="00100D82" w:rsidRPr="00100D82">
        <w:rPr>
          <w:szCs w:val="24"/>
          <w:lang w:val="en-GB"/>
        </w:rPr>
        <w:t>FinancialInstrumentReportingNonEquityTransparencyDataReportV0</w:t>
      </w:r>
      <w:r w:rsidR="00100D82">
        <w:rPr>
          <w:szCs w:val="24"/>
          <w:lang w:val="en-GB"/>
        </w:rPr>
        <w:t>2)</w:t>
      </w:r>
    </w:p>
    <w:p w14:paraId="67F978F0" w14:textId="77777777" w:rsidR="00EA5127" w:rsidRDefault="00EA5127" w:rsidP="00EA5127">
      <w:pPr>
        <w:rPr>
          <w:szCs w:val="24"/>
          <w:lang w:val="en-GB"/>
        </w:rPr>
      </w:pPr>
    </w:p>
    <w:p w14:paraId="68A19096" w14:textId="77777777" w:rsidR="007E7C41" w:rsidRDefault="007E7C41" w:rsidP="007E7C41">
      <w:pPr>
        <w:numPr>
          <w:ilvl w:val="0"/>
          <w:numId w:val="6"/>
        </w:numPr>
        <w:rPr>
          <w:b/>
          <w:szCs w:val="24"/>
          <w:lang w:val="en-GB"/>
        </w:rPr>
      </w:pPr>
      <w:r>
        <w:rPr>
          <w:b/>
          <w:szCs w:val="24"/>
          <w:lang w:val="en-GB"/>
        </w:rPr>
        <w:t>Purpose of the change:</w:t>
      </w:r>
    </w:p>
    <w:p w14:paraId="06AEE157" w14:textId="44191E0F" w:rsidR="0009194F" w:rsidRDefault="00923B14" w:rsidP="00923B14">
      <w:pPr>
        <w:jc w:val="both"/>
        <w:rPr>
          <w:lang w:val="en-GB"/>
        </w:rPr>
      </w:pPr>
      <w:r>
        <w:rPr>
          <w:lang w:val="en-GB"/>
        </w:rPr>
        <w:t xml:space="preserve">The European </w:t>
      </w:r>
      <w:r w:rsidRPr="00923B14">
        <w:rPr>
          <w:lang w:val="en-GB"/>
        </w:rPr>
        <w:t xml:space="preserve">Commission Delegated Regulation (EU) 2017/587 (RTS 1) and Commission Delegated Regulation (EU) 2017/583 (RTS 2) further specify the </w:t>
      </w:r>
      <w:proofErr w:type="spellStart"/>
      <w:r w:rsidRPr="00923B14">
        <w:rPr>
          <w:lang w:val="en-GB"/>
        </w:rPr>
        <w:t>MiFIR</w:t>
      </w:r>
      <w:proofErr w:type="spellEnd"/>
      <w:r w:rsidRPr="00923B14">
        <w:rPr>
          <w:lang w:val="en-GB"/>
        </w:rPr>
        <w:t xml:space="preserve"> pre-trade and post-trade transparency requirements for equity, equity-like and non-equity instruments, respectively.</w:t>
      </w:r>
      <w:r w:rsidR="0009194F">
        <w:rPr>
          <w:lang w:val="en-GB"/>
        </w:rPr>
        <w:t xml:space="preserve"> </w:t>
      </w:r>
    </w:p>
    <w:p w14:paraId="672A34A6" w14:textId="77777777" w:rsidR="00645A47" w:rsidRDefault="00923B14" w:rsidP="00923B14">
      <w:pPr>
        <w:jc w:val="both"/>
        <w:rPr>
          <w:lang w:val="en-GB"/>
        </w:rPr>
      </w:pPr>
      <w:r w:rsidRPr="00923B14">
        <w:rPr>
          <w:lang w:val="en-GB"/>
        </w:rPr>
        <w:t xml:space="preserve">In March 2022 ESMA submitted to the European Commission (EC) a Final Report including its final proposed amendments on RTS 1 and 2 which were endorsed and published in the Official Journal on 16 May 2023. </w:t>
      </w:r>
      <w:r w:rsidR="0009194F">
        <w:rPr>
          <w:lang w:val="en-GB"/>
        </w:rPr>
        <w:t xml:space="preserve"> </w:t>
      </w:r>
    </w:p>
    <w:p w14:paraId="3F331570" w14:textId="03777BD2" w:rsidR="00DC3C0E" w:rsidRDefault="0009194F" w:rsidP="00923B14">
      <w:pPr>
        <w:jc w:val="both"/>
        <w:rPr>
          <w:lang w:val="en-GB"/>
        </w:rPr>
      </w:pPr>
      <w:r>
        <w:rPr>
          <w:lang w:val="en-GB"/>
        </w:rPr>
        <w:t>Based on the n</w:t>
      </w:r>
      <w:r w:rsidR="00923B14">
        <w:rPr>
          <w:lang w:val="en-GB"/>
        </w:rPr>
        <w:t>ew business requirements</w:t>
      </w:r>
      <w:r w:rsidR="00645A47">
        <w:rPr>
          <w:lang w:val="en-GB"/>
        </w:rPr>
        <w:t xml:space="preserve"> in RTS2</w:t>
      </w:r>
      <w:r w:rsidR="00645A47">
        <w:rPr>
          <w:rStyle w:val="FootnoteReference"/>
          <w:lang w:val="en-GB"/>
        </w:rPr>
        <w:footnoteReference w:id="1"/>
      </w:r>
      <w:r w:rsidR="00923B14">
        <w:rPr>
          <w:lang w:val="en-GB"/>
        </w:rPr>
        <w:t xml:space="preserve"> </w:t>
      </w:r>
      <w:r w:rsidR="00577821">
        <w:rPr>
          <w:lang w:val="en-GB"/>
        </w:rPr>
        <w:t xml:space="preserve">ESMA </w:t>
      </w:r>
      <w:r w:rsidR="005A6A3A">
        <w:rPr>
          <w:lang w:val="en-GB"/>
        </w:rPr>
        <w:t xml:space="preserve">needs to perform </w:t>
      </w:r>
      <w:r>
        <w:rPr>
          <w:lang w:val="en-GB"/>
        </w:rPr>
        <w:t>two minor changes in the non-equity transparency reference data XML schema. Both changes are relate</w:t>
      </w:r>
      <w:r w:rsidR="00100D82">
        <w:rPr>
          <w:lang w:val="en-GB"/>
        </w:rPr>
        <w:t>d</w:t>
      </w:r>
      <w:r>
        <w:rPr>
          <w:lang w:val="en-GB"/>
        </w:rPr>
        <w:t xml:space="preserve"> to the extension of the code sets</w:t>
      </w:r>
      <w:r w:rsidR="00100D82">
        <w:rPr>
          <w:lang w:val="en-GB"/>
        </w:rPr>
        <w:t xml:space="preserve"> by externalising them to ensure easier maintenance of the code</w:t>
      </w:r>
      <w:r w:rsidR="00A65AFC">
        <w:rPr>
          <w:lang w:val="en-GB"/>
        </w:rPr>
        <w:t>s which may be updated on a frequent basis</w:t>
      </w:r>
      <w:r>
        <w:rPr>
          <w:lang w:val="en-GB"/>
        </w:rPr>
        <w:t xml:space="preserve">. The purpose of updates is </w:t>
      </w:r>
      <w:r w:rsidR="003B1C3C">
        <w:rPr>
          <w:lang w:val="en-GB"/>
        </w:rPr>
        <w:t>to enable the reporting entities to provide the necessary information to ESMA</w:t>
      </w:r>
      <w:r>
        <w:rPr>
          <w:lang w:val="en-GB"/>
        </w:rPr>
        <w:t xml:space="preserve"> and to align with the changes in the regulation</w:t>
      </w:r>
      <w:r w:rsidR="00DC3C0E">
        <w:rPr>
          <w:lang w:val="en-GB"/>
        </w:rPr>
        <w:t>:</w:t>
      </w:r>
    </w:p>
    <w:p w14:paraId="0E327E10" w14:textId="3EAB6C55" w:rsidR="00923B14" w:rsidRDefault="00923B14" w:rsidP="00BE35AF">
      <w:pPr>
        <w:numPr>
          <w:ilvl w:val="0"/>
          <w:numId w:val="25"/>
        </w:numPr>
        <w:jc w:val="both"/>
        <w:rPr>
          <w:lang w:val="en-GB"/>
        </w:rPr>
      </w:pPr>
      <w:bookmarkStart w:id="1" w:name="_Hlk36736039"/>
      <w:r w:rsidRPr="00923B14">
        <w:rPr>
          <w:lang w:val="en-GB"/>
        </w:rPr>
        <w:t>Externalise the code set</w:t>
      </w:r>
      <w:r>
        <w:rPr>
          <w:lang w:val="en-GB"/>
        </w:rPr>
        <w:t xml:space="preserve"> of the </w:t>
      </w:r>
      <w:r w:rsidR="00E02CCE" w:rsidRPr="005C4E5F">
        <w:rPr>
          <w:i/>
          <w:iCs/>
          <w:lang w:val="en-GB"/>
        </w:rPr>
        <w:t xml:space="preserve">Underlying Instrument Asset Class </w:t>
      </w:r>
      <w:r w:rsidR="00A65AFC">
        <w:rPr>
          <w:i/>
          <w:iCs/>
          <w:lang w:val="en-GB"/>
        </w:rPr>
        <w:t>S</w:t>
      </w:r>
      <w:r w:rsidR="00A65AFC" w:rsidRPr="005C4E5F">
        <w:rPr>
          <w:i/>
          <w:iCs/>
          <w:lang w:val="en-GB"/>
        </w:rPr>
        <w:t>ub</w:t>
      </w:r>
      <w:r w:rsidRPr="005C4E5F">
        <w:rPr>
          <w:i/>
          <w:iCs/>
          <w:lang w:val="en-GB"/>
        </w:rPr>
        <w:t>-</w:t>
      </w:r>
      <w:proofErr w:type="gramStart"/>
      <w:r w:rsidRPr="005C4E5F">
        <w:rPr>
          <w:i/>
          <w:iCs/>
          <w:lang w:val="en-GB"/>
        </w:rPr>
        <w:t>type</w:t>
      </w:r>
      <w:r>
        <w:rPr>
          <w:lang w:val="en-GB"/>
        </w:rPr>
        <w:t xml:space="preserve"> </w:t>
      </w:r>
      <w:r w:rsidRPr="00923B14">
        <w:rPr>
          <w:lang w:val="en-GB"/>
        </w:rPr>
        <w:t xml:space="preserve"> </w:t>
      </w:r>
      <w:r w:rsidR="00A65AFC">
        <w:rPr>
          <w:lang w:val="en-GB"/>
        </w:rPr>
        <w:t>(</w:t>
      </w:r>
      <w:proofErr w:type="gramEnd"/>
      <w:r>
        <w:rPr>
          <w:i/>
          <w:iCs/>
        </w:rPr>
        <w:t>/Document/FinInstrmRptgNonEqtyTrnsprncyDataRpt/NonEqtyTrnsprncyData/UndrlygInstrmAsstClss</w:t>
      </w:r>
      <w:r w:rsidR="00A65AFC">
        <w:rPr>
          <w:i/>
          <w:iCs/>
        </w:rPr>
        <w:t>)</w:t>
      </w:r>
      <w:r>
        <w:rPr>
          <w:i/>
          <w:iCs/>
        </w:rPr>
        <w:t xml:space="preserve"> </w:t>
      </w:r>
      <w:r w:rsidRPr="00923B14">
        <w:rPr>
          <w:lang w:val="en-GB"/>
        </w:rPr>
        <w:t>element</w:t>
      </w:r>
      <w:r>
        <w:rPr>
          <w:lang w:val="en-GB"/>
        </w:rPr>
        <w:t xml:space="preserve"> and add further element </w:t>
      </w:r>
      <w:r w:rsidR="008C0C48">
        <w:rPr>
          <w:lang w:val="en-GB"/>
        </w:rPr>
        <w:t xml:space="preserve">to </w:t>
      </w:r>
      <w:r>
        <w:rPr>
          <w:lang w:val="en-GB"/>
        </w:rPr>
        <w:t xml:space="preserve">the </w:t>
      </w:r>
      <w:r w:rsidR="00834116">
        <w:rPr>
          <w:lang w:val="en-GB"/>
        </w:rPr>
        <w:t>master code set</w:t>
      </w:r>
      <w:r>
        <w:rPr>
          <w:lang w:val="en-GB"/>
        </w:rPr>
        <w:t xml:space="preserve"> (‘OCTN’ – </w:t>
      </w:r>
      <w:r w:rsidR="00A65AFC">
        <w:rPr>
          <w:lang w:val="en-GB"/>
        </w:rPr>
        <w:t xml:space="preserve">Other </w:t>
      </w:r>
      <w:r>
        <w:rPr>
          <w:lang w:val="en-GB"/>
        </w:rPr>
        <w:t xml:space="preserve">C10); </w:t>
      </w:r>
    </w:p>
    <w:p w14:paraId="31CC5568" w14:textId="5167C2C2" w:rsidR="00DC3C0E" w:rsidRDefault="00923B14" w:rsidP="00BE35AF">
      <w:pPr>
        <w:numPr>
          <w:ilvl w:val="0"/>
          <w:numId w:val="25"/>
        </w:numPr>
        <w:jc w:val="both"/>
        <w:rPr>
          <w:lang w:val="en-GB"/>
        </w:rPr>
      </w:pPr>
      <w:r w:rsidRPr="00923B14">
        <w:rPr>
          <w:lang w:val="en-GB"/>
        </w:rPr>
        <w:lastRenderedPageBreak/>
        <w:t>Externalise the code set</w:t>
      </w:r>
      <w:r>
        <w:rPr>
          <w:lang w:val="en-GB"/>
        </w:rPr>
        <w:t xml:space="preserve"> of the </w:t>
      </w:r>
      <w:r w:rsidRPr="005C4E5F">
        <w:rPr>
          <w:i/>
          <w:iCs/>
          <w:lang w:val="en-GB"/>
        </w:rPr>
        <w:t xml:space="preserve">Emission Allowance </w:t>
      </w:r>
      <w:r w:rsidR="00A65AFC">
        <w:rPr>
          <w:i/>
          <w:iCs/>
          <w:lang w:val="en-GB"/>
        </w:rPr>
        <w:t>S</w:t>
      </w:r>
      <w:r w:rsidRPr="005C4E5F">
        <w:rPr>
          <w:i/>
          <w:iCs/>
          <w:lang w:val="en-GB"/>
        </w:rPr>
        <w:t>ub-type</w:t>
      </w:r>
      <w:r w:rsidR="00A65AFC">
        <w:rPr>
          <w:lang w:val="en-GB"/>
        </w:rPr>
        <w:t xml:space="preserve"> element (</w:t>
      </w:r>
      <w:r>
        <w:rPr>
          <w:i/>
          <w:iCs/>
        </w:rPr>
        <w:t>/Document/FinInstrmRptgNonEqtyTrnsprncyDataRpt/NonEqtyTrnsprncyData/EmssnAllwncTp</w:t>
      </w:r>
      <w:r w:rsidR="00A65AFC">
        <w:rPr>
          <w:i/>
          <w:iCs/>
        </w:rPr>
        <w:t xml:space="preserve">) </w:t>
      </w:r>
      <w:proofErr w:type="gramStart"/>
      <w:r>
        <w:rPr>
          <w:lang w:val="en-GB"/>
        </w:rPr>
        <w:t>in order to</w:t>
      </w:r>
      <w:proofErr w:type="gramEnd"/>
      <w:r>
        <w:rPr>
          <w:lang w:val="en-GB"/>
        </w:rPr>
        <w:t xml:space="preserve"> </w:t>
      </w:r>
      <w:r w:rsidR="00E70F6E">
        <w:rPr>
          <w:lang w:val="en-GB"/>
        </w:rPr>
        <w:t>use</w:t>
      </w:r>
      <w:r>
        <w:rPr>
          <w:lang w:val="en-GB"/>
        </w:rPr>
        <w:t xml:space="preserve"> other elements of the</w:t>
      </w:r>
      <w:r w:rsidR="00E70F6E">
        <w:rPr>
          <w:lang w:val="en-GB"/>
        </w:rPr>
        <w:t xml:space="preserve"> existing master</w:t>
      </w:r>
      <w:r>
        <w:rPr>
          <w:lang w:val="en-GB"/>
        </w:rPr>
        <w:t xml:space="preserve"> </w:t>
      </w:r>
      <w:r w:rsidR="00E70F6E">
        <w:rPr>
          <w:lang w:val="en-GB"/>
        </w:rPr>
        <w:t>code set</w:t>
      </w:r>
      <w:r>
        <w:rPr>
          <w:lang w:val="en-GB"/>
        </w:rPr>
        <w:t xml:space="preserve"> (e.g. </w:t>
      </w:r>
      <w:r w:rsidR="00DC3C0E">
        <w:rPr>
          <w:lang w:val="en-GB"/>
        </w:rPr>
        <w:t xml:space="preserve"> ‘OTHR’</w:t>
      </w:r>
      <w:r>
        <w:rPr>
          <w:lang w:val="en-GB"/>
        </w:rPr>
        <w:t xml:space="preserve"> - </w:t>
      </w:r>
      <w:r w:rsidR="00DC3C0E">
        <w:rPr>
          <w:lang w:val="en-GB"/>
        </w:rPr>
        <w:t>other</w:t>
      </w:r>
      <w:proofErr w:type="gramStart"/>
      <w:r w:rsidR="00DC3C0E">
        <w:rPr>
          <w:lang w:val="en-GB"/>
        </w:rPr>
        <w:t>)</w:t>
      </w:r>
      <w:r>
        <w:rPr>
          <w:lang w:val="en-GB"/>
        </w:rPr>
        <w:t>;</w:t>
      </w:r>
      <w:proofErr w:type="gramEnd"/>
      <w:r>
        <w:rPr>
          <w:lang w:val="en-GB"/>
        </w:rPr>
        <w:t xml:space="preserve"> </w:t>
      </w:r>
    </w:p>
    <w:bookmarkEnd w:id="1"/>
    <w:p w14:paraId="429D0815" w14:textId="0AA7DF0F" w:rsidR="0009194F" w:rsidRDefault="00923B14" w:rsidP="007E7C41">
      <w:r>
        <w:t xml:space="preserve">ESMA proposes the code set </w:t>
      </w:r>
      <w:r w:rsidR="0009194F">
        <w:t>externalization</w:t>
      </w:r>
      <w:r>
        <w:t xml:space="preserve"> </w:t>
      </w:r>
      <w:r w:rsidR="0009194F">
        <w:t>instead of the</w:t>
      </w:r>
      <w:r w:rsidR="00A65AFC">
        <w:t xml:space="preserve"> new code</w:t>
      </w:r>
      <w:r w:rsidR="0009194F">
        <w:t xml:space="preserve"> value addition to the existing list of codes in the message </w:t>
      </w:r>
      <w:r>
        <w:t>a</w:t>
      </w:r>
      <w:r w:rsidR="005A6A3A">
        <w:t xml:space="preserve">s </w:t>
      </w:r>
      <w:r>
        <w:t xml:space="preserve">these lists of codes </w:t>
      </w:r>
      <w:r w:rsidR="005A6A3A">
        <w:t>are subject</w:t>
      </w:r>
      <w:r>
        <w:t xml:space="preserve"> to </w:t>
      </w:r>
      <w:r w:rsidR="0009194F">
        <w:t xml:space="preserve">future changes. </w:t>
      </w:r>
    </w:p>
    <w:p w14:paraId="085B4BA3" w14:textId="12A30CA1" w:rsidR="00FE1C1B" w:rsidRDefault="0009194F" w:rsidP="00645A47">
      <w:pPr>
        <w:jc w:val="both"/>
      </w:pPr>
      <w:r>
        <w:t xml:space="preserve">In addition to the above a full review of the </w:t>
      </w:r>
      <w:r w:rsidRPr="005C4E5F">
        <w:rPr>
          <w:i/>
          <w:iCs/>
        </w:rPr>
        <w:t>Markets in Financial Instruments Regulation</w:t>
      </w:r>
      <w:r w:rsidRPr="0009194F">
        <w:t xml:space="preserve"> </w:t>
      </w:r>
      <w:r>
        <w:t>(</w:t>
      </w:r>
      <w:proofErr w:type="spellStart"/>
      <w:r>
        <w:t>MiFIR</w:t>
      </w:r>
      <w:proofErr w:type="spellEnd"/>
      <w:r>
        <w:t>) is expected in 2024,</w:t>
      </w:r>
      <w:r w:rsidR="00A65AFC">
        <w:t xml:space="preserve"> </w:t>
      </w:r>
      <w:r>
        <w:t>which may result</w:t>
      </w:r>
      <w:r w:rsidR="00A65AFC">
        <w:t xml:space="preserve"> in further</w:t>
      </w:r>
      <w:r>
        <w:t xml:space="preserve"> changes </w:t>
      </w:r>
      <w:r w:rsidR="00A65AFC">
        <w:t xml:space="preserve">to </w:t>
      </w:r>
      <w:r>
        <w:t xml:space="preserve">the transparency reporting </w:t>
      </w:r>
      <w:r w:rsidR="00A65AFC">
        <w:t>messages</w:t>
      </w:r>
      <w:r>
        <w:t xml:space="preserve">. </w:t>
      </w:r>
      <w:r w:rsidR="00645A47">
        <w:t>Therefore,</w:t>
      </w:r>
      <w:r>
        <w:t xml:space="preserve"> ESMA </w:t>
      </w:r>
      <w:r w:rsidR="00A65AFC">
        <w:t xml:space="preserve">aims </w:t>
      </w:r>
      <w:r>
        <w:t>to keep the current modification of the non-equity transparency reference data report to a minimum level.</w:t>
      </w:r>
      <w:r w:rsidR="00923B14">
        <w:t xml:space="preserve"> </w:t>
      </w:r>
      <w:r w:rsidR="00A65AFC">
        <w:t xml:space="preserve">Moreover, ESMA primarily aims to approve the externalization of the relevant code </w:t>
      </w:r>
      <w:proofErr w:type="gramStart"/>
      <w:r w:rsidR="00A65AFC">
        <w:t xml:space="preserve">sets, </w:t>
      </w:r>
      <w:r w:rsidR="005C4E5F">
        <w:t xml:space="preserve"> </w:t>
      </w:r>
      <w:r w:rsidR="00A65AFC">
        <w:t>and</w:t>
      </w:r>
      <w:proofErr w:type="gramEnd"/>
      <w:r w:rsidR="00A65AFC">
        <w:t xml:space="preserve"> may keep the V03 base message in form of draft until further updates are performed in 2024 to minimize the need of maintaining multiple base messages in the ISO 20022 repository.  </w:t>
      </w:r>
    </w:p>
    <w:p w14:paraId="1945F7E9" w14:textId="77777777" w:rsidR="005A6A3A" w:rsidRDefault="005A6A3A" w:rsidP="00645A47">
      <w:pPr>
        <w:jc w:val="both"/>
      </w:pPr>
    </w:p>
    <w:p w14:paraId="31715B1F" w14:textId="77777777" w:rsidR="00AD4373" w:rsidRDefault="00AD4373" w:rsidP="00645A47">
      <w:pPr>
        <w:numPr>
          <w:ilvl w:val="0"/>
          <w:numId w:val="6"/>
        </w:numPr>
        <w:jc w:val="both"/>
        <w:rPr>
          <w:b/>
          <w:szCs w:val="24"/>
          <w:lang w:val="en-GB"/>
        </w:rPr>
      </w:pPr>
      <w:r>
        <w:rPr>
          <w:b/>
          <w:szCs w:val="24"/>
          <w:lang w:val="en-GB"/>
        </w:rPr>
        <w:t>Urgency of the request:</w:t>
      </w:r>
    </w:p>
    <w:p w14:paraId="730366C4" w14:textId="0DF2B4DE" w:rsidR="009C6614" w:rsidRDefault="009C6614" w:rsidP="00645A47">
      <w:pPr>
        <w:jc w:val="both"/>
        <w:rPr>
          <w:lang w:val="en-GB"/>
        </w:rPr>
      </w:pPr>
      <w:r>
        <w:rPr>
          <w:lang w:val="en-GB"/>
        </w:rPr>
        <w:t xml:space="preserve">There is no structural modification in the proposed solution, the changes in the messages are limited to </w:t>
      </w:r>
      <w:r w:rsidRPr="00A0098F">
        <w:rPr>
          <w:lang w:val="en-GB"/>
        </w:rPr>
        <w:t xml:space="preserve">updates of </w:t>
      </w:r>
      <w:r w:rsidR="00645A47">
        <w:rPr>
          <w:lang w:val="en-GB"/>
        </w:rPr>
        <w:t>the code list of the two fields mentioned above by externalizing the relevant code sets.</w:t>
      </w:r>
    </w:p>
    <w:p w14:paraId="64C182DC" w14:textId="5843DB4A" w:rsidR="006A58C5" w:rsidRDefault="00624B43" w:rsidP="00645A47">
      <w:pPr>
        <w:jc w:val="both"/>
        <w:rPr>
          <w:szCs w:val="24"/>
          <w:lang w:val="en-GB"/>
        </w:rPr>
      </w:pPr>
      <w:r>
        <w:rPr>
          <w:szCs w:val="24"/>
          <w:lang w:val="en-GB"/>
        </w:rPr>
        <w:t xml:space="preserve">As these improvements </w:t>
      </w:r>
      <w:r w:rsidR="00645A47">
        <w:rPr>
          <w:szCs w:val="24"/>
          <w:lang w:val="en-GB"/>
        </w:rPr>
        <w:t xml:space="preserve">are minor and </w:t>
      </w:r>
      <w:r w:rsidR="00A12EC3">
        <w:rPr>
          <w:szCs w:val="24"/>
          <w:lang w:val="en-GB"/>
        </w:rPr>
        <w:t xml:space="preserve">will facilitate </w:t>
      </w:r>
      <w:r w:rsidR="00DC3C0E">
        <w:rPr>
          <w:szCs w:val="24"/>
          <w:lang w:val="en-GB"/>
        </w:rPr>
        <w:t xml:space="preserve">proper </w:t>
      </w:r>
      <w:r w:rsidR="00A12EC3">
        <w:rPr>
          <w:szCs w:val="24"/>
          <w:lang w:val="en-GB"/>
        </w:rPr>
        <w:t>reporting and improve data quality</w:t>
      </w:r>
      <w:r>
        <w:rPr>
          <w:szCs w:val="24"/>
          <w:lang w:val="en-GB"/>
        </w:rPr>
        <w:t xml:space="preserve">, ESMA aims at including </w:t>
      </w:r>
      <w:r w:rsidR="006A58C5">
        <w:rPr>
          <w:szCs w:val="24"/>
          <w:lang w:val="en-GB"/>
        </w:rPr>
        <w:t>changes in the next major maintenance release</w:t>
      </w:r>
      <w:r w:rsidR="009D1A6E">
        <w:rPr>
          <w:szCs w:val="24"/>
          <w:lang w:val="en-GB"/>
        </w:rPr>
        <w:t xml:space="preserve"> cycle</w:t>
      </w:r>
      <w:r>
        <w:rPr>
          <w:szCs w:val="24"/>
          <w:lang w:val="en-GB"/>
        </w:rPr>
        <w:t xml:space="preserve"> of </w:t>
      </w:r>
      <w:r w:rsidR="00645A47">
        <w:rPr>
          <w:szCs w:val="24"/>
          <w:lang w:val="en-GB"/>
        </w:rPr>
        <w:t xml:space="preserve">its FITRS </w:t>
      </w:r>
      <w:r>
        <w:rPr>
          <w:szCs w:val="24"/>
          <w:lang w:val="en-GB"/>
        </w:rPr>
        <w:t>system</w:t>
      </w:r>
      <w:r w:rsidR="00645A47">
        <w:rPr>
          <w:szCs w:val="24"/>
          <w:lang w:val="en-GB"/>
        </w:rPr>
        <w:t xml:space="preserve"> (supporting the </w:t>
      </w:r>
      <w:proofErr w:type="spellStart"/>
      <w:r w:rsidR="00645A47">
        <w:rPr>
          <w:szCs w:val="24"/>
          <w:lang w:val="en-GB"/>
        </w:rPr>
        <w:t>MiFIR</w:t>
      </w:r>
      <w:proofErr w:type="spellEnd"/>
      <w:r w:rsidR="00645A47">
        <w:rPr>
          <w:szCs w:val="24"/>
          <w:lang w:val="en-GB"/>
        </w:rPr>
        <w:t xml:space="preserve"> transparency calculations</w:t>
      </w:r>
      <w:proofErr w:type="gramStart"/>
      <w:r w:rsidR="00645A47">
        <w:rPr>
          <w:szCs w:val="24"/>
          <w:lang w:val="en-GB"/>
        </w:rPr>
        <w:t xml:space="preserve">) </w:t>
      </w:r>
      <w:r w:rsidR="00556C8B">
        <w:rPr>
          <w:szCs w:val="24"/>
          <w:lang w:val="en-GB"/>
        </w:rPr>
        <w:t>,</w:t>
      </w:r>
      <w:proofErr w:type="gramEnd"/>
      <w:r w:rsidR="00556C8B">
        <w:rPr>
          <w:szCs w:val="24"/>
          <w:lang w:val="en-GB"/>
        </w:rPr>
        <w:t xml:space="preserve"> for which testing would start in </w:t>
      </w:r>
      <w:r w:rsidR="009A6808">
        <w:rPr>
          <w:szCs w:val="24"/>
          <w:lang w:val="en-GB"/>
        </w:rPr>
        <w:t xml:space="preserve">Q1 </w:t>
      </w:r>
      <w:r w:rsidR="00A70357">
        <w:rPr>
          <w:szCs w:val="24"/>
          <w:lang w:val="en-GB"/>
        </w:rPr>
        <w:t>2024 and go-live by the end of May 2024</w:t>
      </w:r>
      <w:r w:rsidR="006A58C5">
        <w:rPr>
          <w:szCs w:val="24"/>
          <w:lang w:val="en-GB"/>
        </w:rPr>
        <w:t>.</w:t>
      </w:r>
    </w:p>
    <w:p w14:paraId="6EC62083" w14:textId="42C657B0" w:rsidR="007943EF" w:rsidRDefault="00624B43" w:rsidP="00645A47">
      <w:pPr>
        <w:jc w:val="both"/>
        <w:rPr>
          <w:szCs w:val="24"/>
          <w:lang w:val="en-GB"/>
        </w:rPr>
      </w:pPr>
      <w:r>
        <w:rPr>
          <w:szCs w:val="24"/>
          <w:lang w:val="en-GB"/>
        </w:rPr>
        <w:t xml:space="preserve">To </w:t>
      </w:r>
      <w:r w:rsidR="00461C8E">
        <w:rPr>
          <w:szCs w:val="24"/>
          <w:lang w:val="en-GB"/>
        </w:rPr>
        <w:t>accommodate for sufficient lead time for the reporting entities to adapt to the changes, the</w:t>
      </w:r>
      <w:r w:rsidR="007943EF">
        <w:rPr>
          <w:szCs w:val="24"/>
          <w:lang w:val="en-GB"/>
        </w:rPr>
        <w:t xml:space="preserve"> </w:t>
      </w:r>
      <w:r w:rsidR="00F0577E">
        <w:rPr>
          <w:szCs w:val="24"/>
          <w:lang w:val="en-GB"/>
        </w:rPr>
        <w:t xml:space="preserve">updated XML Schema will need to be published </w:t>
      </w:r>
      <w:r w:rsidR="00556C8B">
        <w:rPr>
          <w:szCs w:val="24"/>
          <w:lang w:val="en-GB"/>
        </w:rPr>
        <w:t xml:space="preserve">in </w:t>
      </w:r>
      <w:r w:rsidR="003B1C3C">
        <w:rPr>
          <w:szCs w:val="24"/>
          <w:lang w:val="en-GB"/>
        </w:rPr>
        <w:t xml:space="preserve">by the </w:t>
      </w:r>
      <w:r w:rsidR="00DC3C0E">
        <w:rPr>
          <w:szCs w:val="24"/>
          <w:lang w:val="en-GB"/>
        </w:rPr>
        <w:t xml:space="preserve">end </w:t>
      </w:r>
      <w:r w:rsidR="003B1C3C">
        <w:rPr>
          <w:szCs w:val="24"/>
          <w:lang w:val="en-GB"/>
        </w:rPr>
        <w:t>of November 2023</w:t>
      </w:r>
      <w:r w:rsidR="00F0577E">
        <w:rPr>
          <w:szCs w:val="24"/>
          <w:lang w:val="en-GB"/>
        </w:rPr>
        <w:t>.</w:t>
      </w:r>
    </w:p>
    <w:p w14:paraId="41DA45B0" w14:textId="77777777" w:rsidR="006A58C5" w:rsidRDefault="006A58C5" w:rsidP="00645A47">
      <w:pPr>
        <w:jc w:val="both"/>
        <w:rPr>
          <w:szCs w:val="24"/>
          <w:lang w:val="en-GB"/>
        </w:rPr>
      </w:pPr>
    </w:p>
    <w:p w14:paraId="6DB053C4" w14:textId="77777777" w:rsidR="00783891" w:rsidRDefault="00783891" w:rsidP="00645A47">
      <w:pPr>
        <w:numPr>
          <w:ilvl w:val="0"/>
          <w:numId w:val="6"/>
        </w:numPr>
        <w:jc w:val="both"/>
        <w:rPr>
          <w:b/>
          <w:szCs w:val="24"/>
          <w:lang w:val="en-GB"/>
        </w:rPr>
      </w:pPr>
      <w:r>
        <w:rPr>
          <w:b/>
          <w:szCs w:val="24"/>
          <w:lang w:val="en-GB"/>
        </w:rPr>
        <w:t>Commitments of the submitting organization:</w:t>
      </w:r>
    </w:p>
    <w:p w14:paraId="208A7673" w14:textId="401CBDD4" w:rsidR="006A58C5" w:rsidRDefault="006A58C5" w:rsidP="00645A47">
      <w:pPr>
        <w:jc w:val="both"/>
        <w:rPr>
          <w:szCs w:val="24"/>
          <w:lang w:val="en-GB"/>
        </w:rPr>
      </w:pPr>
      <w:r>
        <w:rPr>
          <w:szCs w:val="24"/>
          <w:lang w:val="en-GB"/>
        </w:rPr>
        <w:t>The ESMA</w:t>
      </w:r>
      <w:r w:rsidR="00645A47">
        <w:rPr>
          <w:szCs w:val="24"/>
          <w:lang w:val="en-GB"/>
        </w:rPr>
        <w:t xml:space="preserve"> FITRS </w:t>
      </w:r>
      <w:r>
        <w:rPr>
          <w:szCs w:val="24"/>
          <w:lang w:val="en-GB"/>
        </w:rPr>
        <w:t>project team confirms that it plans to develop a new version of the impacted</w:t>
      </w:r>
      <w:r w:rsidR="009C6614">
        <w:rPr>
          <w:szCs w:val="24"/>
          <w:lang w:val="en-GB"/>
        </w:rPr>
        <w:t xml:space="preserve"> message and </w:t>
      </w:r>
      <w:r>
        <w:rPr>
          <w:szCs w:val="24"/>
          <w:lang w:val="en-GB"/>
        </w:rPr>
        <w:t xml:space="preserve">system in accordance </w:t>
      </w:r>
      <w:r w:rsidR="00645A47">
        <w:rPr>
          <w:szCs w:val="24"/>
          <w:lang w:val="en-GB"/>
        </w:rPr>
        <w:t>with</w:t>
      </w:r>
      <w:r>
        <w:rPr>
          <w:szCs w:val="24"/>
          <w:lang w:val="en-GB"/>
        </w:rPr>
        <w:t xml:space="preserve"> the changes proposed in this document. </w:t>
      </w:r>
    </w:p>
    <w:p w14:paraId="7AEED125" w14:textId="77777777" w:rsidR="00783891" w:rsidRDefault="00783891" w:rsidP="00645A47">
      <w:pPr>
        <w:jc w:val="both"/>
        <w:rPr>
          <w:b/>
          <w:szCs w:val="24"/>
          <w:lang w:val="en-GB"/>
        </w:rPr>
      </w:pPr>
    </w:p>
    <w:p w14:paraId="36DA8190" w14:textId="77777777" w:rsidR="00783891" w:rsidRDefault="00783891" w:rsidP="00645A47">
      <w:pPr>
        <w:numPr>
          <w:ilvl w:val="0"/>
          <w:numId w:val="6"/>
        </w:numPr>
        <w:jc w:val="both"/>
        <w:rPr>
          <w:szCs w:val="24"/>
          <w:lang w:val="en-GB"/>
        </w:rPr>
      </w:pPr>
      <w:r>
        <w:rPr>
          <w:b/>
          <w:szCs w:val="24"/>
          <w:lang w:val="en-GB"/>
        </w:rPr>
        <w:t>Contact persons:</w:t>
      </w:r>
    </w:p>
    <w:p w14:paraId="170CD3E9" w14:textId="77DCD2D2" w:rsidR="001C4B6D" w:rsidRDefault="001C4B6D" w:rsidP="00645A47">
      <w:pPr>
        <w:jc w:val="both"/>
        <w:rPr>
          <w:szCs w:val="24"/>
          <w:lang w:val="fr-FR"/>
        </w:rPr>
      </w:pPr>
      <w:r>
        <w:rPr>
          <w:szCs w:val="24"/>
          <w:lang w:val="fr-FR"/>
        </w:rPr>
        <w:t xml:space="preserve"> </w:t>
      </w:r>
    </w:p>
    <w:p w14:paraId="6E53EF99" w14:textId="36C1DA69" w:rsidR="001C4B6D" w:rsidRPr="005C4E5F" w:rsidRDefault="001C4B6D" w:rsidP="00645A47">
      <w:pPr>
        <w:jc w:val="both"/>
        <w:rPr>
          <w:szCs w:val="24"/>
          <w:lang w:val="pl-PL"/>
        </w:rPr>
      </w:pPr>
      <w:r w:rsidRPr="005C4E5F">
        <w:rPr>
          <w:szCs w:val="24"/>
          <w:lang w:val="pl-PL"/>
        </w:rPr>
        <w:t xml:space="preserve">Krisztina Miklossy – </w:t>
      </w:r>
      <w:hyperlink r:id="rId8" w:history="1">
        <w:r w:rsidRPr="005C4E5F">
          <w:rPr>
            <w:rStyle w:val="Hyperlink"/>
            <w:szCs w:val="24"/>
            <w:lang w:val="pl-PL"/>
          </w:rPr>
          <w:t>krisztina.miklossy@esma.europa.eu</w:t>
        </w:r>
      </w:hyperlink>
      <w:r w:rsidRPr="005C4E5F">
        <w:rPr>
          <w:szCs w:val="24"/>
          <w:lang w:val="pl-PL"/>
        </w:rPr>
        <w:t xml:space="preserve"> </w:t>
      </w:r>
    </w:p>
    <w:p w14:paraId="45E4B840" w14:textId="4EB1A766" w:rsidR="00DC3C0E" w:rsidRPr="005C4E5F" w:rsidRDefault="00DC3C0E" w:rsidP="00645A47">
      <w:pPr>
        <w:jc w:val="both"/>
        <w:rPr>
          <w:szCs w:val="24"/>
          <w:lang w:val="pl-PL"/>
        </w:rPr>
      </w:pPr>
      <w:r w:rsidRPr="005C4E5F">
        <w:rPr>
          <w:szCs w:val="24"/>
          <w:lang w:val="pl-PL"/>
        </w:rPr>
        <w:t xml:space="preserve">Michal Zubrycki – </w:t>
      </w:r>
      <w:hyperlink r:id="rId9" w:history="1">
        <w:r w:rsidRPr="005C4E5F">
          <w:rPr>
            <w:rStyle w:val="Hyperlink"/>
            <w:szCs w:val="24"/>
            <w:lang w:val="pl-PL"/>
          </w:rPr>
          <w:t>michal.Zubrycki-ext@esma.europa.eu</w:t>
        </w:r>
      </w:hyperlink>
      <w:r w:rsidRPr="005C4E5F">
        <w:rPr>
          <w:szCs w:val="24"/>
          <w:lang w:val="pl-PL"/>
        </w:rPr>
        <w:t xml:space="preserve"> </w:t>
      </w:r>
    </w:p>
    <w:p w14:paraId="106FC701" w14:textId="2B3227C3" w:rsidR="00A77050" w:rsidRPr="005C4E5F" w:rsidRDefault="00A77050" w:rsidP="00645A47">
      <w:pPr>
        <w:jc w:val="both"/>
        <w:rPr>
          <w:szCs w:val="24"/>
          <w:lang w:val="pl-PL"/>
        </w:rPr>
      </w:pPr>
    </w:p>
    <w:p w14:paraId="3E2C38BC" w14:textId="4189566B" w:rsidR="00A77050" w:rsidRPr="005C4E5F" w:rsidRDefault="00A77050" w:rsidP="00645A47">
      <w:pPr>
        <w:jc w:val="both"/>
        <w:rPr>
          <w:szCs w:val="24"/>
          <w:lang w:val="pl-PL"/>
        </w:rPr>
      </w:pPr>
    </w:p>
    <w:p w14:paraId="4CC523B5" w14:textId="41F7B29E" w:rsidR="00A77050" w:rsidRPr="005C4E5F" w:rsidRDefault="00A77050" w:rsidP="00645A47">
      <w:pPr>
        <w:jc w:val="both"/>
        <w:rPr>
          <w:szCs w:val="24"/>
          <w:lang w:val="pl-PL"/>
        </w:rPr>
      </w:pPr>
    </w:p>
    <w:p w14:paraId="568C2566" w14:textId="59839744" w:rsidR="00A77050" w:rsidRPr="005C4E5F" w:rsidRDefault="00A77050" w:rsidP="00645A47">
      <w:pPr>
        <w:jc w:val="both"/>
        <w:rPr>
          <w:szCs w:val="24"/>
          <w:lang w:val="pl-PL"/>
        </w:rPr>
      </w:pPr>
    </w:p>
    <w:p w14:paraId="284EE40C" w14:textId="758F59C0" w:rsidR="00A77050" w:rsidRPr="005C4E5F" w:rsidRDefault="00A77050" w:rsidP="00645A47">
      <w:pPr>
        <w:jc w:val="both"/>
        <w:rPr>
          <w:szCs w:val="24"/>
          <w:lang w:val="pl-PL"/>
        </w:rPr>
      </w:pPr>
    </w:p>
    <w:p w14:paraId="17732033" w14:textId="36A70B56" w:rsidR="00A77050" w:rsidRPr="005C4E5F" w:rsidRDefault="00A77050" w:rsidP="00645A47">
      <w:pPr>
        <w:jc w:val="both"/>
        <w:rPr>
          <w:szCs w:val="24"/>
          <w:lang w:val="pl-PL"/>
        </w:rPr>
      </w:pPr>
    </w:p>
    <w:p w14:paraId="2B771AA6" w14:textId="77777777" w:rsidR="00A77050" w:rsidRPr="005C4E5F" w:rsidRDefault="00A77050" w:rsidP="00645A47">
      <w:pPr>
        <w:jc w:val="both"/>
        <w:rPr>
          <w:szCs w:val="24"/>
          <w:lang w:val="pl-PL"/>
        </w:rPr>
      </w:pPr>
    </w:p>
    <w:p w14:paraId="0CB46E26" w14:textId="5F7C6B6B" w:rsidR="00082743" w:rsidRDefault="00B44DEE" w:rsidP="00A77050">
      <w:pPr>
        <w:pStyle w:val="Heading1"/>
        <w:jc w:val="center"/>
        <w:rPr>
          <w:lang w:val="en-GB"/>
        </w:rPr>
      </w:pPr>
      <w:r>
        <w:rPr>
          <w:lang w:val="en-GB"/>
        </w:rPr>
        <w:t xml:space="preserve">Change </w:t>
      </w:r>
      <w:r w:rsidR="00451986">
        <w:rPr>
          <w:lang w:val="en-GB"/>
        </w:rPr>
        <w:t>number #</w:t>
      </w:r>
      <w:r w:rsidR="00623709">
        <w:rPr>
          <w:lang w:val="en-GB"/>
        </w:rPr>
        <w:t>1</w:t>
      </w:r>
    </w:p>
    <w:p w14:paraId="34DA940F" w14:textId="28DF334F" w:rsidR="008C0C48" w:rsidRDefault="008C0C48">
      <w:pPr>
        <w:spacing w:after="240"/>
        <w:ind w:left="360"/>
        <w:rPr>
          <w:b/>
          <w:lang w:val="en-GB"/>
        </w:rPr>
      </w:pPr>
    </w:p>
    <w:p w14:paraId="15C03538" w14:textId="77777777" w:rsidR="00AC68DB" w:rsidRDefault="00AC68DB" w:rsidP="004D461B">
      <w:pPr>
        <w:spacing w:after="240"/>
        <w:ind w:left="360"/>
        <w:rPr>
          <w:b/>
          <w:lang w:val="en-GB"/>
        </w:rPr>
      </w:pPr>
    </w:p>
    <w:p w14:paraId="00F258F6" w14:textId="6DB0DB51" w:rsidR="00BF2E3E" w:rsidRDefault="00BF2E3E" w:rsidP="004D461B">
      <w:pPr>
        <w:numPr>
          <w:ilvl w:val="0"/>
          <w:numId w:val="31"/>
        </w:numPr>
        <w:spacing w:after="240"/>
        <w:rPr>
          <w:b/>
          <w:lang w:val="en-GB"/>
        </w:rPr>
      </w:pPr>
      <w:r>
        <w:rPr>
          <w:b/>
          <w:lang w:val="en-GB"/>
        </w:rPr>
        <w:t>Related m</w:t>
      </w:r>
      <w:r w:rsidRPr="00451986">
        <w:rPr>
          <w:b/>
          <w:lang w:val="en-GB"/>
        </w:rPr>
        <w:t>essages:</w:t>
      </w:r>
    </w:p>
    <w:p w14:paraId="4C3BBE72" w14:textId="77777777" w:rsidR="00DC3C0E" w:rsidRPr="00DC3C0E" w:rsidRDefault="00DC3C0E" w:rsidP="00E02CCE">
      <w:pPr>
        <w:pStyle w:val="ListParagraph"/>
        <w:ind w:left="360"/>
        <w:jc w:val="both"/>
        <w:rPr>
          <w:szCs w:val="24"/>
          <w:lang w:val="en-GB"/>
        </w:rPr>
      </w:pPr>
      <w:r w:rsidRPr="00DC3C0E">
        <w:rPr>
          <w:szCs w:val="24"/>
          <w:lang w:val="en-GB"/>
        </w:rPr>
        <w:t xml:space="preserve">auth.033.001.02 </w:t>
      </w:r>
      <w:proofErr w:type="spellStart"/>
      <w:r w:rsidRPr="00DC3C0E">
        <w:rPr>
          <w:szCs w:val="24"/>
          <w:lang w:val="en-GB"/>
        </w:rPr>
        <w:t>FinancialInstrumentReportingNonEquityTransparencyData</w:t>
      </w:r>
      <w:proofErr w:type="spellEnd"/>
      <w:r w:rsidRPr="00DC3C0E">
        <w:rPr>
          <w:szCs w:val="24"/>
          <w:lang w:val="en-GB"/>
        </w:rPr>
        <w:t xml:space="preserve"> Report</w:t>
      </w:r>
    </w:p>
    <w:p w14:paraId="6A2B641F" w14:textId="4B59E80A" w:rsidR="00BF2E3E" w:rsidRPr="00451986" w:rsidRDefault="00BF2E3E" w:rsidP="00645A47">
      <w:pPr>
        <w:jc w:val="both"/>
        <w:rPr>
          <w:b/>
          <w:lang w:val="en-GB"/>
        </w:rPr>
      </w:pPr>
    </w:p>
    <w:p w14:paraId="1DACEFBA" w14:textId="77777777" w:rsidR="00BF2E3E" w:rsidRPr="004D461B" w:rsidRDefault="00567B06" w:rsidP="004D461B">
      <w:pPr>
        <w:numPr>
          <w:ilvl w:val="0"/>
          <w:numId w:val="31"/>
        </w:numPr>
        <w:spacing w:after="240"/>
        <w:rPr>
          <w:b/>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4D675366" w14:textId="77777777" w:rsidR="00874F10" w:rsidRDefault="00666CC4" w:rsidP="00645A47">
      <w:pPr>
        <w:jc w:val="both"/>
        <w:rPr>
          <w:i/>
          <w:iCs/>
        </w:rPr>
      </w:pPr>
      <w:proofErr w:type="gramStart"/>
      <w:r w:rsidRPr="00666CC4">
        <w:rPr>
          <w:lang w:val="en-GB"/>
        </w:rPr>
        <w:t>For the purpose of</w:t>
      </w:r>
      <w:proofErr w:type="gramEnd"/>
      <w:r w:rsidRPr="00666CC4">
        <w:rPr>
          <w:lang w:val="en-GB"/>
        </w:rPr>
        <w:t xml:space="preserve"> regulatory reporting of financial instrument </w:t>
      </w:r>
      <w:r w:rsidR="009C6614">
        <w:rPr>
          <w:lang w:val="en-GB"/>
        </w:rPr>
        <w:t xml:space="preserve">transparency </w:t>
      </w:r>
      <w:r w:rsidRPr="00666CC4">
        <w:rPr>
          <w:lang w:val="en-GB"/>
        </w:rPr>
        <w:t xml:space="preserve">reference data (Regulatory Technical Standard 2), </w:t>
      </w:r>
      <w:r w:rsidR="009C6614">
        <w:rPr>
          <w:lang w:val="en-GB"/>
        </w:rPr>
        <w:t>the</w:t>
      </w:r>
      <w:r w:rsidR="009C6614" w:rsidRPr="00666CC4">
        <w:rPr>
          <w:lang w:val="en-GB"/>
        </w:rPr>
        <w:t xml:space="preserve"> </w:t>
      </w:r>
      <w:r w:rsidRPr="00666CC4">
        <w:rPr>
          <w:lang w:val="en-GB"/>
        </w:rPr>
        <w:t xml:space="preserve">reporting entities </w:t>
      </w:r>
      <w:r w:rsidR="00E02CCE">
        <w:rPr>
          <w:lang w:val="en-GB"/>
        </w:rPr>
        <w:t xml:space="preserve">needs to be enabled </w:t>
      </w:r>
      <w:r w:rsidRPr="00666CC4">
        <w:rPr>
          <w:lang w:val="en-GB"/>
        </w:rPr>
        <w:t xml:space="preserve">to </w:t>
      </w:r>
      <w:r w:rsidR="009C6614">
        <w:rPr>
          <w:lang w:val="en-GB"/>
        </w:rPr>
        <w:t xml:space="preserve">report </w:t>
      </w:r>
      <w:r w:rsidR="00114D96">
        <w:rPr>
          <w:lang w:val="en-GB"/>
        </w:rPr>
        <w:t xml:space="preserve">an additional specified asset class type in the ‘Underlying Instrument Asset </w:t>
      </w:r>
      <w:proofErr w:type="spellStart"/>
      <w:r w:rsidR="00114D96">
        <w:rPr>
          <w:lang w:val="en-GB"/>
        </w:rPr>
        <w:t>Class’</w:t>
      </w:r>
      <w:proofErr w:type="spellEnd"/>
      <w:r w:rsidR="00114D96">
        <w:rPr>
          <w:lang w:val="en-GB"/>
        </w:rPr>
        <w:t xml:space="preserve"> field</w:t>
      </w:r>
      <w:r w:rsidR="00874F10">
        <w:rPr>
          <w:lang w:val="en-GB"/>
        </w:rPr>
        <w:t xml:space="preserve"> (XML path:</w:t>
      </w:r>
      <w:r w:rsidR="00874F10" w:rsidRPr="00874F10">
        <w:rPr>
          <w:i/>
          <w:iCs/>
        </w:rPr>
        <w:t xml:space="preserve"> </w:t>
      </w:r>
      <w:r w:rsidR="00874F10">
        <w:rPr>
          <w:i/>
          <w:iCs/>
        </w:rPr>
        <w:t>/Document/FinInstrmRptgNonEqtyTrnsprncyDataRpt/NonEqtyTrnsprncyData/</w:t>
      </w:r>
    </w:p>
    <w:p w14:paraId="232030E1" w14:textId="0A0DC5BB" w:rsidR="00114D96" w:rsidRDefault="00874F10" w:rsidP="00874F10">
      <w:pPr>
        <w:spacing w:before="0"/>
        <w:jc w:val="both"/>
        <w:rPr>
          <w:lang w:val="en-GB"/>
        </w:rPr>
      </w:pPr>
      <w:proofErr w:type="spellStart"/>
      <w:r>
        <w:rPr>
          <w:i/>
          <w:iCs/>
        </w:rPr>
        <w:t>UndrlygInstrmAsstClss</w:t>
      </w:r>
      <w:proofErr w:type="spellEnd"/>
      <w:r>
        <w:rPr>
          <w:i/>
          <w:iCs/>
        </w:rPr>
        <w:t>)</w:t>
      </w:r>
      <w:r w:rsidR="00114D96">
        <w:rPr>
          <w:lang w:val="en-GB"/>
        </w:rPr>
        <w:t>.</w:t>
      </w:r>
    </w:p>
    <w:p w14:paraId="031EAF15" w14:textId="09C7F998" w:rsidR="00114D96" w:rsidRDefault="00114D96" w:rsidP="00645A47">
      <w:pPr>
        <w:jc w:val="both"/>
        <w:rPr>
          <w:lang w:val="en-GB"/>
        </w:rPr>
      </w:pPr>
      <w:r>
        <w:rPr>
          <w:lang w:val="en-GB"/>
        </w:rPr>
        <w:t xml:space="preserve">In the current version the following </w:t>
      </w:r>
      <w:r w:rsidR="008B3F34">
        <w:rPr>
          <w:lang w:val="en-GB"/>
        </w:rPr>
        <w:t xml:space="preserve">asset </w:t>
      </w:r>
      <w:r>
        <w:rPr>
          <w:lang w:val="en-GB"/>
        </w:rPr>
        <w:t xml:space="preserve">types are presented in the </w:t>
      </w:r>
      <w:r w:rsidR="007A181F">
        <w:rPr>
          <w:lang w:val="en-GB"/>
        </w:rPr>
        <w:t>internal</w:t>
      </w:r>
      <w:r w:rsidR="004B62D3">
        <w:rPr>
          <w:lang w:val="en-GB"/>
        </w:rPr>
        <w:t xml:space="preserve"> </w:t>
      </w:r>
      <w:r>
        <w:rPr>
          <w:lang w:val="en-GB"/>
        </w:rPr>
        <w:t>code-list:</w:t>
      </w:r>
    </w:p>
    <w:p w14:paraId="3CFCE3E7" w14:textId="77777777" w:rsidR="00114D96" w:rsidRDefault="00114D96" w:rsidP="00114D96">
      <w:pPr>
        <w:spacing w:before="0"/>
        <w:ind w:left="720"/>
        <w:jc w:val="both"/>
        <w:rPr>
          <w:lang w:val="en-GB"/>
        </w:rPr>
      </w:pPr>
      <w:r>
        <w:rPr>
          <w:lang w:val="en-GB"/>
        </w:rPr>
        <w:t>- Commodity [COMM]</w:t>
      </w:r>
    </w:p>
    <w:p w14:paraId="3CE87609" w14:textId="3D050412" w:rsidR="00114D96" w:rsidRDefault="00114D96" w:rsidP="00114D96">
      <w:pPr>
        <w:spacing w:before="0"/>
        <w:ind w:left="720"/>
        <w:jc w:val="both"/>
        <w:rPr>
          <w:lang w:val="en-GB"/>
        </w:rPr>
      </w:pPr>
      <w:r>
        <w:rPr>
          <w:lang w:val="en-GB"/>
        </w:rPr>
        <w:t>- Credit [CRDT]</w:t>
      </w:r>
    </w:p>
    <w:p w14:paraId="39594741" w14:textId="77777777" w:rsidR="00114D96" w:rsidRDefault="00114D96" w:rsidP="00114D96">
      <w:pPr>
        <w:spacing w:before="0"/>
        <w:ind w:left="720"/>
        <w:jc w:val="both"/>
        <w:rPr>
          <w:lang w:val="en-GB"/>
        </w:rPr>
      </w:pPr>
      <w:r>
        <w:rPr>
          <w:lang w:val="en-GB"/>
        </w:rPr>
        <w:t>- Currency [CURR]</w:t>
      </w:r>
    </w:p>
    <w:p w14:paraId="71941159" w14:textId="77777777" w:rsidR="00114D96" w:rsidRDefault="00114D96" w:rsidP="00114D96">
      <w:pPr>
        <w:spacing w:before="0"/>
        <w:ind w:left="720"/>
        <w:jc w:val="both"/>
        <w:rPr>
          <w:lang w:val="en-GB"/>
        </w:rPr>
      </w:pPr>
      <w:r>
        <w:rPr>
          <w:lang w:val="en-GB"/>
        </w:rPr>
        <w:t xml:space="preserve">- </w:t>
      </w:r>
      <w:proofErr w:type="spellStart"/>
      <w:r>
        <w:rPr>
          <w:lang w:val="en-GB"/>
        </w:rPr>
        <w:t>Emmission</w:t>
      </w:r>
      <w:proofErr w:type="spellEnd"/>
      <w:r>
        <w:rPr>
          <w:lang w:val="en-GB"/>
        </w:rPr>
        <w:t xml:space="preserve"> Allowance [EMAL]</w:t>
      </w:r>
    </w:p>
    <w:p w14:paraId="440028D0" w14:textId="77777777" w:rsidR="00114D96" w:rsidRDefault="00114D96" w:rsidP="00114D96">
      <w:pPr>
        <w:spacing w:before="0"/>
        <w:ind w:left="720"/>
        <w:jc w:val="both"/>
        <w:rPr>
          <w:lang w:val="en-GB"/>
        </w:rPr>
      </w:pPr>
      <w:r>
        <w:rPr>
          <w:lang w:val="en-GB"/>
        </w:rPr>
        <w:t>- Equity [EQUI]</w:t>
      </w:r>
    </w:p>
    <w:p w14:paraId="07A4BDF5" w14:textId="77777777" w:rsidR="00114D96" w:rsidRDefault="00114D96" w:rsidP="00114D96">
      <w:pPr>
        <w:spacing w:before="0"/>
        <w:ind w:left="720"/>
        <w:jc w:val="both"/>
        <w:rPr>
          <w:lang w:val="en-GB"/>
        </w:rPr>
      </w:pPr>
      <w:r>
        <w:rPr>
          <w:lang w:val="en-GB"/>
        </w:rPr>
        <w:t>- Interest Rate [INTR]</w:t>
      </w:r>
    </w:p>
    <w:p w14:paraId="1F9974E2" w14:textId="3EF2BFB2" w:rsidR="00BA1574" w:rsidRDefault="00114D96" w:rsidP="00645A47">
      <w:pPr>
        <w:jc w:val="both"/>
        <w:rPr>
          <w:lang w:val="en-GB"/>
        </w:rPr>
      </w:pPr>
      <w:r>
        <w:rPr>
          <w:lang w:val="en-GB"/>
        </w:rPr>
        <w:t xml:space="preserve">The new </w:t>
      </w:r>
      <w:r w:rsidR="008B3F34">
        <w:rPr>
          <w:lang w:val="en-GB"/>
        </w:rPr>
        <w:t xml:space="preserve">asset </w:t>
      </w:r>
      <w:r>
        <w:rPr>
          <w:lang w:val="en-GB"/>
        </w:rPr>
        <w:t xml:space="preserve">type that needs to be enabled for the </w:t>
      </w:r>
      <w:r w:rsidR="008B3F34">
        <w:rPr>
          <w:lang w:val="en-GB"/>
        </w:rPr>
        <w:t xml:space="preserve">transparency </w:t>
      </w:r>
      <w:r>
        <w:rPr>
          <w:lang w:val="en-GB"/>
        </w:rPr>
        <w:t>reporting is ‘OCTN’ (other C10), but additional codes can be</w:t>
      </w:r>
      <w:r w:rsidR="008B3F34">
        <w:rPr>
          <w:lang w:val="en-GB"/>
        </w:rPr>
        <w:t xml:space="preserve"> also</w:t>
      </w:r>
      <w:r>
        <w:rPr>
          <w:lang w:val="en-GB"/>
        </w:rPr>
        <w:t xml:space="preserve"> expected in the future. </w:t>
      </w:r>
      <w:proofErr w:type="gramStart"/>
      <w:r>
        <w:rPr>
          <w:lang w:val="en-GB"/>
        </w:rPr>
        <w:t>Therefore</w:t>
      </w:r>
      <w:proofErr w:type="gramEnd"/>
      <w:r>
        <w:rPr>
          <w:lang w:val="en-GB"/>
        </w:rPr>
        <w:t xml:space="preserve"> the list should not be fixed on the base message level, but </w:t>
      </w:r>
      <w:r w:rsidR="00A65AFC">
        <w:rPr>
          <w:lang w:val="en-GB"/>
        </w:rPr>
        <w:t xml:space="preserve">instead </w:t>
      </w:r>
      <w:r>
        <w:rPr>
          <w:lang w:val="en-GB"/>
        </w:rPr>
        <w:t>could be maintained via an externalise</w:t>
      </w:r>
      <w:r w:rsidR="00BA1574">
        <w:rPr>
          <w:lang w:val="en-GB"/>
        </w:rPr>
        <w:t>d</w:t>
      </w:r>
      <w:r>
        <w:rPr>
          <w:lang w:val="en-GB"/>
        </w:rPr>
        <w:t xml:space="preserve"> code</w:t>
      </w:r>
      <w:r w:rsidR="00BA1574">
        <w:rPr>
          <w:lang w:val="en-GB"/>
        </w:rPr>
        <w:t xml:space="preserve"> list.</w:t>
      </w:r>
    </w:p>
    <w:p w14:paraId="56CD47B9" w14:textId="57EC99DF" w:rsidR="008B3F34" w:rsidRDefault="00E62093" w:rsidP="00645A47">
      <w:pPr>
        <w:jc w:val="both"/>
        <w:rPr>
          <w:lang w:val="en-GB"/>
        </w:rPr>
      </w:pPr>
      <w:r>
        <w:rPr>
          <w:lang w:val="en-GB"/>
        </w:rPr>
        <w:t xml:space="preserve">The </w:t>
      </w:r>
      <w:r w:rsidR="00BA1574">
        <w:rPr>
          <w:lang w:val="en-GB"/>
        </w:rPr>
        <w:t>Underlying</w:t>
      </w:r>
      <w:r w:rsidR="005D7DC3">
        <w:rPr>
          <w:lang w:val="en-GB"/>
        </w:rPr>
        <w:t xml:space="preserve"> </w:t>
      </w:r>
      <w:r w:rsidR="00BA1574">
        <w:rPr>
          <w:lang w:val="en-GB"/>
        </w:rPr>
        <w:t>Instrument</w:t>
      </w:r>
      <w:r w:rsidR="005D7DC3">
        <w:rPr>
          <w:lang w:val="en-GB"/>
        </w:rPr>
        <w:t xml:space="preserve"> </w:t>
      </w:r>
      <w:r w:rsidR="00BA1574">
        <w:rPr>
          <w:lang w:val="en-GB"/>
        </w:rPr>
        <w:t>Asset</w:t>
      </w:r>
      <w:r w:rsidR="005D7DC3">
        <w:rPr>
          <w:lang w:val="en-GB"/>
        </w:rPr>
        <w:t xml:space="preserve"> </w:t>
      </w:r>
      <w:r w:rsidR="00BA1574">
        <w:rPr>
          <w:lang w:val="en-GB"/>
        </w:rPr>
        <w:t xml:space="preserve">Class field is now </w:t>
      </w:r>
      <w:r w:rsidR="005D7DC3">
        <w:rPr>
          <w:lang w:val="en-GB"/>
        </w:rPr>
        <w:t xml:space="preserve">an </w:t>
      </w:r>
      <w:r w:rsidR="008B3F34">
        <w:rPr>
          <w:lang w:val="en-GB"/>
        </w:rPr>
        <w:t xml:space="preserve">optional field [0,1] </w:t>
      </w:r>
      <w:r w:rsidR="00BA1574">
        <w:rPr>
          <w:lang w:val="en-GB"/>
        </w:rPr>
        <w:t xml:space="preserve">populated with ProductType5Code, restricted from the ProductTypeV2Code list, which </w:t>
      </w:r>
      <w:r w:rsidR="008B3F34">
        <w:rPr>
          <w:lang w:val="en-GB"/>
        </w:rPr>
        <w:t>specifies the type of product or financial instruments with a 4</w:t>
      </w:r>
      <w:r w:rsidR="00E02CCE">
        <w:rPr>
          <w:lang w:val="en-GB"/>
        </w:rPr>
        <w:t>-</w:t>
      </w:r>
      <w:r w:rsidR="008B3F34">
        <w:rPr>
          <w:lang w:val="en-GB"/>
        </w:rPr>
        <w:t>character</w:t>
      </w:r>
      <w:r w:rsidR="00E02CCE">
        <w:rPr>
          <w:lang w:val="en-GB"/>
        </w:rPr>
        <w:t>s</w:t>
      </w:r>
      <w:r w:rsidR="008B3F34">
        <w:rPr>
          <w:lang w:val="en-GB"/>
        </w:rPr>
        <w:t xml:space="preserve"> length code. </w:t>
      </w:r>
      <w:r w:rsidR="00BA1574">
        <w:rPr>
          <w:lang w:val="en-GB"/>
        </w:rPr>
        <w:t xml:space="preserve"> </w:t>
      </w:r>
    </w:p>
    <w:p w14:paraId="565A0673" w14:textId="77777777" w:rsidR="003D7D35" w:rsidRDefault="003D7D35" w:rsidP="00645A47">
      <w:pPr>
        <w:jc w:val="both"/>
        <w:rPr>
          <w:lang w:val="en-GB"/>
        </w:rPr>
      </w:pPr>
    </w:p>
    <w:p w14:paraId="11C75891" w14:textId="77777777" w:rsidR="005F05DB" w:rsidRPr="005F05DB" w:rsidRDefault="007828B0" w:rsidP="004D461B">
      <w:pPr>
        <w:numPr>
          <w:ilvl w:val="0"/>
          <w:numId w:val="31"/>
        </w:numPr>
        <w:spacing w:after="240"/>
        <w:rPr>
          <w:b/>
          <w:lang w:val="en-GB"/>
        </w:rPr>
      </w:pPr>
      <w:r>
        <w:rPr>
          <w:b/>
          <w:lang w:val="en-GB"/>
        </w:rPr>
        <w:t>Proposed implementation:</w:t>
      </w:r>
      <w:r w:rsidR="005F05DB" w:rsidRPr="004D461B">
        <w:rPr>
          <w:b/>
          <w:lang w:val="en-GB"/>
        </w:rPr>
        <w:t xml:space="preserve"> </w:t>
      </w:r>
    </w:p>
    <w:p w14:paraId="63AF049B" w14:textId="77777777" w:rsidR="005D7DC3" w:rsidRDefault="005D7DC3" w:rsidP="005D7DC3">
      <w:pPr>
        <w:jc w:val="both"/>
        <w:rPr>
          <w:lang w:val="en-GB"/>
        </w:rPr>
      </w:pPr>
      <w:r>
        <w:rPr>
          <w:lang w:val="en-GB"/>
        </w:rPr>
        <w:t>ESMA proposes the following solution:</w:t>
      </w:r>
    </w:p>
    <w:p w14:paraId="4C50A31F" w14:textId="74D83472" w:rsidR="005D7DC3" w:rsidRDefault="005D7DC3" w:rsidP="005D7DC3">
      <w:pPr>
        <w:pStyle w:val="ListParagraph"/>
        <w:numPr>
          <w:ilvl w:val="0"/>
          <w:numId w:val="28"/>
        </w:numPr>
        <w:jc w:val="both"/>
        <w:rPr>
          <w:lang w:val="en-GB"/>
        </w:rPr>
      </w:pPr>
      <w:r w:rsidRPr="008B3F34">
        <w:rPr>
          <w:lang w:val="en-GB"/>
        </w:rPr>
        <w:t xml:space="preserve">Creation of </w:t>
      </w:r>
      <w:proofErr w:type="spellStart"/>
      <w:r w:rsidRPr="008B3F34">
        <w:rPr>
          <w:lang w:val="en-GB"/>
        </w:rPr>
        <w:t>ExternalProductTypeCode</w:t>
      </w:r>
      <w:proofErr w:type="spellEnd"/>
      <w:r>
        <w:rPr>
          <w:lang w:val="en-GB"/>
        </w:rPr>
        <w:t xml:space="preserve"> </w:t>
      </w:r>
      <w:r w:rsidR="002979BB">
        <w:rPr>
          <w:lang w:val="en-GB"/>
        </w:rPr>
        <w:t>master code set.</w:t>
      </w:r>
    </w:p>
    <w:p w14:paraId="263FFE6E" w14:textId="17061E59" w:rsidR="00834116" w:rsidRPr="00884E83" w:rsidRDefault="00834116" w:rsidP="00884E83">
      <w:pPr>
        <w:pStyle w:val="ListParagraph"/>
        <w:numPr>
          <w:ilvl w:val="0"/>
          <w:numId w:val="28"/>
        </w:numPr>
        <w:jc w:val="both"/>
        <w:rPr>
          <w:lang w:val="en-GB"/>
        </w:rPr>
      </w:pPr>
      <w:r>
        <w:rPr>
          <w:lang w:val="en-GB"/>
        </w:rPr>
        <w:t xml:space="preserve">The master code set </w:t>
      </w:r>
      <w:r w:rsidRPr="008B3F34">
        <w:rPr>
          <w:lang w:val="en-GB"/>
        </w:rPr>
        <w:t>will be</w:t>
      </w:r>
      <w:r>
        <w:rPr>
          <w:lang w:val="en-GB"/>
        </w:rPr>
        <w:t xml:space="preserve"> </w:t>
      </w:r>
      <w:r w:rsidRPr="008B3F34">
        <w:rPr>
          <w:lang w:val="en-GB"/>
        </w:rPr>
        <w:t xml:space="preserve">extended with </w:t>
      </w:r>
      <w:r w:rsidR="00884E83">
        <w:rPr>
          <w:lang w:val="en-GB"/>
        </w:rPr>
        <w:t xml:space="preserve">the new </w:t>
      </w:r>
      <w:r w:rsidRPr="00884E83">
        <w:rPr>
          <w:lang w:val="en-GB"/>
        </w:rPr>
        <w:t>product type code</w:t>
      </w:r>
      <w:r w:rsidR="00884E83">
        <w:rPr>
          <w:lang w:val="en-GB"/>
        </w:rPr>
        <w:t>:</w:t>
      </w:r>
      <w:r w:rsidR="00884E83" w:rsidRPr="00884E83">
        <w:rPr>
          <w:lang w:val="en-GB"/>
        </w:rPr>
        <w:t xml:space="preserve"> </w:t>
      </w:r>
      <w:r w:rsidR="00884E83" w:rsidRPr="008B3F34">
        <w:rPr>
          <w:lang w:val="en-GB"/>
        </w:rPr>
        <w:t>‘OCTN’ (other C10)</w:t>
      </w:r>
      <w:r w:rsidRPr="00884E83">
        <w:rPr>
          <w:lang w:val="en-GB"/>
        </w:rPr>
        <w:t>.</w:t>
      </w:r>
    </w:p>
    <w:p w14:paraId="5DECBA33" w14:textId="38FEACD8" w:rsidR="00834116" w:rsidRPr="00834116" w:rsidRDefault="005D7DC3" w:rsidP="004D461B">
      <w:pPr>
        <w:pStyle w:val="ListParagraph"/>
        <w:numPr>
          <w:ilvl w:val="0"/>
          <w:numId w:val="28"/>
        </w:numPr>
        <w:jc w:val="both"/>
        <w:rPr>
          <w:i/>
          <w:iCs/>
        </w:rPr>
      </w:pPr>
      <w:r w:rsidRPr="00834116">
        <w:rPr>
          <w:lang w:val="en-GB"/>
        </w:rPr>
        <w:t xml:space="preserve">The currently used ProductType5Code </w:t>
      </w:r>
      <w:r w:rsidR="00834116" w:rsidRPr="00834116">
        <w:rPr>
          <w:lang w:val="en-GB"/>
        </w:rPr>
        <w:t xml:space="preserve">in the Underlying Instrument Asset </w:t>
      </w:r>
      <w:proofErr w:type="spellStart"/>
      <w:r w:rsidR="00834116" w:rsidRPr="00834116">
        <w:rPr>
          <w:lang w:val="en-GB"/>
        </w:rPr>
        <w:t>Class’</w:t>
      </w:r>
      <w:proofErr w:type="spellEnd"/>
      <w:r w:rsidR="00834116" w:rsidRPr="00834116">
        <w:rPr>
          <w:lang w:val="en-GB"/>
        </w:rPr>
        <w:t xml:space="preserve"> field (</w:t>
      </w:r>
      <w:r w:rsidR="00834116" w:rsidRPr="00834116">
        <w:rPr>
          <w:i/>
          <w:iCs/>
        </w:rPr>
        <w:t>/Document/FinInstrmRptgNonEqtyTrnsprncyDataRpt/NonEqtyTrnsprncyData/</w:t>
      </w:r>
    </w:p>
    <w:p w14:paraId="4C8EBCEB" w14:textId="155A9A3E" w:rsidR="005D7DC3" w:rsidRPr="00834116" w:rsidRDefault="00834116" w:rsidP="004D461B">
      <w:pPr>
        <w:spacing w:before="0"/>
        <w:ind w:left="720"/>
        <w:jc w:val="both"/>
        <w:rPr>
          <w:lang w:val="en-GB"/>
        </w:rPr>
      </w:pPr>
      <w:proofErr w:type="spellStart"/>
      <w:r>
        <w:rPr>
          <w:i/>
          <w:iCs/>
        </w:rPr>
        <w:lastRenderedPageBreak/>
        <w:t>UndrlygInstrmAsstClss</w:t>
      </w:r>
      <w:proofErr w:type="spellEnd"/>
      <w:r>
        <w:rPr>
          <w:i/>
          <w:iCs/>
        </w:rPr>
        <w:t>)</w:t>
      </w:r>
      <w:r>
        <w:rPr>
          <w:lang w:val="en-GB"/>
        </w:rPr>
        <w:t xml:space="preserve"> </w:t>
      </w:r>
      <w:r w:rsidR="005D7DC3" w:rsidRPr="00834116">
        <w:rPr>
          <w:lang w:val="en-GB"/>
        </w:rPr>
        <w:t xml:space="preserve">will be replaced by the new </w:t>
      </w:r>
      <w:r w:rsidR="002979BB" w:rsidRPr="00834116">
        <w:rPr>
          <w:lang w:val="en-GB"/>
        </w:rPr>
        <w:t xml:space="preserve">code set </w:t>
      </w:r>
      <w:r w:rsidR="005D7DC3" w:rsidRPr="00834116">
        <w:rPr>
          <w:lang w:val="en-GB"/>
        </w:rPr>
        <w:t>ExternalProductType</w:t>
      </w:r>
      <w:r>
        <w:rPr>
          <w:lang w:val="en-GB"/>
        </w:rPr>
        <w:t>1</w:t>
      </w:r>
      <w:r w:rsidR="005D7DC3" w:rsidRPr="00834116">
        <w:rPr>
          <w:lang w:val="en-GB"/>
        </w:rPr>
        <w:t xml:space="preserve">Code </w:t>
      </w:r>
      <w:r w:rsidR="002979BB" w:rsidRPr="00834116">
        <w:rPr>
          <w:lang w:val="en-GB"/>
        </w:rPr>
        <w:t>(based on the above master code set)</w:t>
      </w:r>
      <w:r w:rsidR="005D7DC3" w:rsidRPr="00834116">
        <w:rPr>
          <w:lang w:val="en-GB"/>
        </w:rPr>
        <w:t xml:space="preserve">. The </w:t>
      </w:r>
      <w:r w:rsidR="002979BB" w:rsidRPr="00834116">
        <w:rPr>
          <w:lang w:val="en-GB"/>
        </w:rPr>
        <w:t xml:space="preserve">underlying schema element </w:t>
      </w:r>
      <w:r w:rsidR="005D7DC3" w:rsidRPr="00834116">
        <w:rPr>
          <w:lang w:val="en-GB"/>
        </w:rPr>
        <w:t>remains</w:t>
      </w:r>
      <w:r w:rsidR="002979BB" w:rsidRPr="00834116">
        <w:rPr>
          <w:lang w:val="en-GB"/>
        </w:rPr>
        <w:t xml:space="preserve"> </w:t>
      </w:r>
      <w:r w:rsidR="006A2E4A" w:rsidRPr="00834116">
        <w:rPr>
          <w:lang w:val="en-GB"/>
        </w:rPr>
        <w:t>‘</w:t>
      </w:r>
      <w:r w:rsidR="005D7DC3" w:rsidRPr="00834116">
        <w:rPr>
          <w:lang w:val="en-GB"/>
        </w:rPr>
        <w:t>optional</w:t>
      </w:r>
      <w:r w:rsidR="006A2E4A" w:rsidRPr="00834116">
        <w:rPr>
          <w:lang w:val="en-GB"/>
        </w:rPr>
        <w:t>’</w:t>
      </w:r>
      <w:r w:rsidR="005D7DC3" w:rsidRPr="00834116">
        <w:rPr>
          <w:lang w:val="en-GB"/>
        </w:rPr>
        <w:t xml:space="preserve"> [0,1]</w:t>
      </w:r>
      <w:r w:rsidR="006A2E4A" w:rsidRPr="00834116">
        <w:rPr>
          <w:lang w:val="en-GB"/>
        </w:rPr>
        <w:t>.</w:t>
      </w:r>
    </w:p>
    <w:p w14:paraId="7D580ECE" w14:textId="77777777" w:rsidR="004B62D3" w:rsidRDefault="004B62D3" w:rsidP="004D461B">
      <w:pPr>
        <w:pStyle w:val="ListParagraph"/>
        <w:jc w:val="both"/>
        <w:rPr>
          <w:lang w:val="en-GB"/>
        </w:rPr>
      </w:pPr>
    </w:p>
    <w:p w14:paraId="5AD98D1D" w14:textId="77777777" w:rsidR="00AC68DB" w:rsidRDefault="00AC68DB" w:rsidP="008C0C48">
      <w:pPr>
        <w:pStyle w:val="ListParagraph"/>
        <w:ind w:left="360"/>
        <w:jc w:val="both"/>
        <w:rPr>
          <w:lang w:val="en-GB"/>
        </w:rPr>
      </w:pPr>
    </w:p>
    <w:p w14:paraId="5B42FB46" w14:textId="77777777" w:rsidR="008C0C48" w:rsidRDefault="008C0C48" w:rsidP="008C0C48">
      <w:pPr>
        <w:pStyle w:val="ListParagraph"/>
        <w:ind w:left="360"/>
        <w:jc w:val="both"/>
        <w:rPr>
          <w:lang w:val="en-GB"/>
        </w:rPr>
      </w:pPr>
    </w:p>
    <w:p w14:paraId="16B8E957" w14:textId="1B65D85A" w:rsidR="00361128" w:rsidRDefault="004D461B" w:rsidP="00361128">
      <w:pPr>
        <w:pStyle w:val="ListParagraph"/>
        <w:ind w:left="360"/>
        <w:jc w:val="both"/>
        <w:rPr>
          <w:lang w:val="en-GB"/>
        </w:rPr>
      </w:pPr>
      <w:r>
        <w:rPr>
          <w:lang w:val="en-GB"/>
        </w:rPr>
        <w:t>The following elements will be presented in t</w:t>
      </w:r>
      <w:r w:rsidR="00361128">
        <w:rPr>
          <w:lang w:val="en-GB"/>
        </w:rPr>
        <w:t xml:space="preserve">he </w:t>
      </w:r>
      <w:r w:rsidR="00834116">
        <w:rPr>
          <w:lang w:val="en-GB"/>
        </w:rPr>
        <w:t>master code set and the externalise</w:t>
      </w:r>
      <w:r w:rsidR="00884E83">
        <w:rPr>
          <w:lang w:val="en-GB"/>
        </w:rPr>
        <w:t xml:space="preserve">d </w:t>
      </w:r>
      <w:r w:rsidR="00361128">
        <w:rPr>
          <w:lang w:val="en-GB"/>
        </w:rPr>
        <w:t xml:space="preserve">code set </w:t>
      </w:r>
      <w:r>
        <w:rPr>
          <w:lang w:val="en-GB"/>
        </w:rPr>
        <w:t>including the newly added code (Other C10 - OTCN)</w:t>
      </w:r>
      <w:r w:rsidR="00361128">
        <w:rPr>
          <w:lang w:val="en-GB"/>
        </w:rPr>
        <w:t>:</w:t>
      </w:r>
    </w:p>
    <w:p w14:paraId="42DACA14" w14:textId="04CFF22B" w:rsidR="00AC68DB" w:rsidRDefault="00AC68DB" w:rsidP="004D461B">
      <w:pPr>
        <w:pStyle w:val="ListParagraph"/>
        <w:ind w:left="360"/>
        <w:jc w:val="both"/>
        <w:rPr>
          <w:lang w:val="en-GB"/>
        </w:rPr>
      </w:pPr>
    </w:p>
    <w:p w14:paraId="6E0A5767" w14:textId="4C9A57A9" w:rsidR="00114D96" w:rsidRPr="004B62D3" w:rsidRDefault="00AC68DB" w:rsidP="004D461B">
      <w:pPr>
        <w:pStyle w:val="ListParagraph"/>
        <w:jc w:val="both"/>
        <w:rPr>
          <w:noProof/>
          <w:lang w:val="en-GB" w:eastAsia="en-GB"/>
        </w:rPr>
      </w:pPr>
      <w:r>
        <w:rPr>
          <w:noProof/>
        </w:rPr>
        <w:drawing>
          <wp:inline distT="0" distB="0" distL="0" distR="0" wp14:anchorId="2F1D641F" wp14:editId="7E910C3F">
            <wp:extent cx="2438028" cy="32639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5738"/>
                    <a:stretch/>
                  </pic:blipFill>
                  <pic:spPr bwMode="auto">
                    <a:xfrm>
                      <a:off x="0" y="0"/>
                      <a:ext cx="2448011" cy="3277265"/>
                    </a:xfrm>
                    <a:prstGeom prst="rect">
                      <a:avLst/>
                    </a:prstGeom>
                    <a:ln>
                      <a:noFill/>
                    </a:ln>
                    <a:extLst>
                      <a:ext uri="{53640926-AAD7-44D8-BBD7-CCE9431645EC}">
                        <a14:shadowObscured xmlns:a14="http://schemas.microsoft.com/office/drawing/2010/main"/>
                      </a:ext>
                    </a:extLst>
                  </pic:spPr>
                </pic:pic>
              </a:graphicData>
            </a:graphic>
          </wp:inline>
        </w:drawing>
      </w:r>
    </w:p>
    <w:p w14:paraId="1D0A55FF" w14:textId="3091D2D5" w:rsidR="00114D96" w:rsidRDefault="00114D96" w:rsidP="00645A47">
      <w:pPr>
        <w:jc w:val="both"/>
        <w:rPr>
          <w:noProof/>
          <w:lang w:val="en-GB" w:eastAsia="en-GB"/>
        </w:rPr>
      </w:pPr>
    </w:p>
    <w:tbl>
      <w:tblPr>
        <w:tblW w:w="11502" w:type="dxa"/>
        <w:tblInd w:w="-1026" w:type="dxa"/>
        <w:tblLook w:val="04A0" w:firstRow="1" w:lastRow="0" w:firstColumn="1" w:lastColumn="0" w:noHBand="0" w:noVBand="1"/>
      </w:tblPr>
      <w:tblGrid>
        <w:gridCol w:w="5706"/>
        <w:gridCol w:w="5796"/>
      </w:tblGrid>
      <w:tr w:rsidR="00A77050" w:rsidRPr="00066336" w14:paraId="56A68D2A" w14:textId="77777777" w:rsidTr="0081232C">
        <w:tc>
          <w:tcPr>
            <w:tcW w:w="5706" w:type="dxa"/>
            <w:shd w:val="clear" w:color="auto" w:fill="auto"/>
          </w:tcPr>
          <w:p w14:paraId="5FA65255" w14:textId="77777777" w:rsidR="00AE742B" w:rsidRPr="00066336" w:rsidRDefault="00AE742B" w:rsidP="00066336">
            <w:pPr>
              <w:jc w:val="center"/>
              <w:rPr>
                <w:b/>
                <w:u w:val="single"/>
                <w:lang w:val="en-GB"/>
              </w:rPr>
            </w:pPr>
            <w:r w:rsidRPr="00066336">
              <w:rPr>
                <w:b/>
                <w:u w:val="single"/>
                <w:lang w:val="en-GB"/>
              </w:rPr>
              <w:t>Approved message</w:t>
            </w:r>
          </w:p>
        </w:tc>
        <w:tc>
          <w:tcPr>
            <w:tcW w:w="5796" w:type="dxa"/>
            <w:shd w:val="clear" w:color="auto" w:fill="auto"/>
          </w:tcPr>
          <w:p w14:paraId="0AB180CA" w14:textId="77777777" w:rsidR="00AE742B" w:rsidRPr="00066336" w:rsidRDefault="00AE742B" w:rsidP="00066336">
            <w:pPr>
              <w:jc w:val="center"/>
              <w:rPr>
                <w:b/>
                <w:u w:val="single"/>
                <w:lang w:val="en-GB"/>
              </w:rPr>
            </w:pPr>
            <w:r w:rsidRPr="00066336">
              <w:rPr>
                <w:b/>
                <w:u w:val="single"/>
                <w:lang w:val="en-GB"/>
              </w:rPr>
              <w:t>Proposed change</w:t>
            </w:r>
          </w:p>
        </w:tc>
      </w:tr>
      <w:tr w:rsidR="00A77050" w:rsidRPr="00066336" w14:paraId="00F65EDA" w14:textId="77777777" w:rsidTr="0081232C">
        <w:tc>
          <w:tcPr>
            <w:tcW w:w="5706" w:type="dxa"/>
            <w:shd w:val="clear" w:color="auto" w:fill="auto"/>
          </w:tcPr>
          <w:p w14:paraId="75E15A1F" w14:textId="77777777" w:rsidR="00114D96" w:rsidRDefault="00114D96" w:rsidP="00451986">
            <w:pPr>
              <w:ind w:left="-498"/>
              <w:rPr>
                <w:noProof/>
              </w:rPr>
            </w:pPr>
          </w:p>
          <w:p w14:paraId="4E825E8C" w14:textId="75DE55A6" w:rsidR="00AE742B" w:rsidRPr="00066336" w:rsidRDefault="00114D96" w:rsidP="00451986">
            <w:pPr>
              <w:ind w:left="-498"/>
              <w:rPr>
                <w:lang w:val="en-GB"/>
              </w:rPr>
            </w:pPr>
            <w:r>
              <w:rPr>
                <w:noProof/>
              </w:rPr>
              <w:lastRenderedPageBreak/>
              <w:drawing>
                <wp:inline distT="0" distB="0" distL="0" distR="0" wp14:anchorId="3A510568" wp14:editId="4FFEF8A4">
                  <wp:extent cx="3498850" cy="3079323"/>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850" cy="3079323"/>
                          </a:xfrm>
                          <a:prstGeom prst="rect">
                            <a:avLst/>
                          </a:prstGeom>
                          <a:noFill/>
                          <a:ln>
                            <a:noFill/>
                          </a:ln>
                        </pic:spPr>
                      </pic:pic>
                    </a:graphicData>
                  </a:graphic>
                </wp:inline>
              </w:drawing>
            </w:r>
          </w:p>
        </w:tc>
        <w:tc>
          <w:tcPr>
            <w:tcW w:w="5796" w:type="dxa"/>
            <w:shd w:val="clear" w:color="auto" w:fill="auto"/>
          </w:tcPr>
          <w:p w14:paraId="6C431160" w14:textId="0C8CAE76" w:rsidR="00E02CCE" w:rsidRDefault="00E02CCE" w:rsidP="00451986">
            <w:pPr>
              <w:ind w:left="127"/>
              <w:rPr>
                <w:lang w:val="en-GB"/>
              </w:rPr>
            </w:pPr>
          </w:p>
          <w:p w14:paraId="0C0D92E0" w14:textId="77777777" w:rsidR="00884E83" w:rsidRDefault="00884E83" w:rsidP="00451986">
            <w:pPr>
              <w:ind w:left="127"/>
              <w:rPr>
                <w:lang w:val="en-GB"/>
              </w:rPr>
            </w:pPr>
          </w:p>
          <w:p w14:paraId="7A71F5FA" w14:textId="1280A4E8" w:rsidR="00114D96" w:rsidRPr="00066336" w:rsidRDefault="00114D96" w:rsidP="00451986">
            <w:pPr>
              <w:ind w:left="127"/>
              <w:rPr>
                <w:lang w:val="en-GB"/>
              </w:rPr>
            </w:pPr>
            <w:r>
              <w:rPr>
                <w:noProof/>
              </w:rPr>
              <w:drawing>
                <wp:inline distT="0" distB="0" distL="0" distR="0" wp14:anchorId="192CEF9C" wp14:editId="451F79FE">
                  <wp:extent cx="3217545" cy="2158936"/>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7545" cy="2158936"/>
                          </a:xfrm>
                          <a:prstGeom prst="rect">
                            <a:avLst/>
                          </a:prstGeom>
                          <a:noFill/>
                          <a:ln>
                            <a:noFill/>
                          </a:ln>
                        </pic:spPr>
                      </pic:pic>
                    </a:graphicData>
                  </a:graphic>
                </wp:inline>
              </w:drawing>
            </w:r>
          </w:p>
        </w:tc>
      </w:tr>
    </w:tbl>
    <w:p w14:paraId="7A9D0038" w14:textId="7EA21FC6" w:rsidR="006344BD" w:rsidRDefault="006344BD" w:rsidP="009C6332">
      <w:pPr>
        <w:rPr>
          <w:noProof/>
          <w:lang w:val="en-GB" w:eastAsia="en-GB"/>
        </w:rPr>
      </w:pPr>
    </w:p>
    <w:p w14:paraId="2CA9F308" w14:textId="77777777" w:rsidR="00884E83" w:rsidRDefault="00884E83" w:rsidP="009C6332">
      <w:pPr>
        <w:rPr>
          <w:noProof/>
          <w:lang w:val="en-GB" w:eastAsia="en-GB"/>
        </w:rPr>
      </w:pPr>
    </w:p>
    <w:p w14:paraId="7C071C31" w14:textId="223FF8F2" w:rsidR="00E8579D" w:rsidRPr="00E8579D" w:rsidRDefault="006D1DB8" w:rsidP="004D461B">
      <w:pPr>
        <w:numPr>
          <w:ilvl w:val="0"/>
          <w:numId w:val="31"/>
        </w:numPr>
        <w:spacing w:after="240"/>
        <w:rPr>
          <w:b/>
          <w:lang w:val="en-GB"/>
        </w:rPr>
      </w:pPr>
      <w:r>
        <w:rPr>
          <w:b/>
          <w:lang w:val="en-GB"/>
        </w:rPr>
        <w:t>D</w:t>
      </w:r>
      <w:r w:rsidR="00A40FA6">
        <w:rPr>
          <w:b/>
          <w:lang w:val="en-GB"/>
        </w:rPr>
        <w:t xml:space="preserve">ecision of </w:t>
      </w:r>
      <w:r w:rsidR="004E1F21">
        <w:rPr>
          <w:b/>
          <w:lang w:val="en-GB"/>
        </w:rPr>
        <w:t>the SEG(s)</w:t>
      </w:r>
      <w:r w:rsidR="00E8579D">
        <w:rPr>
          <w:b/>
          <w:lang w:val="en-GB"/>
        </w:rPr>
        <w:t>:</w:t>
      </w:r>
    </w:p>
    <w:p w14:paraId="37D174FA"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79816811"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87B6D15" w14:textId="77777777" w:rsidTr="006D1DB8">
        <w:trPr>
          <w:gridAfter w:val="2"/>
          <w:wAfter w:w="4591" w:type="dxa"/>
        </w:trPr>
        <w:tc>
          <w:tcPr>
            <w:tcW w:w="2220" w:type="dxa"/>
            <w:gridSpan w:val="2"/>
          </w:tcPr>
          <w:p w14:paraId="74825ECA" w14:textId="77777777" w:rsidR="006D1DB8" w:rsidRPr="006D1DB8" w:rsidRDefault="006D1DB8" w:rsidP="006D1DB8">
            <w:pPr>
              <w:rPr>
                <w:b/>
                <w:szCs w:val="24"/>
                <w:lang w:val="en-GB"/>
              </w:rPr>
            </w:pPr>
            <w:r w:rsidRPr="006D1DB8">
              <w:rPr>
                <w:b/>
                <w:szCs w:val="24"/>
                <w:lang w:val="en-GB"/>
              </w:rPr>
              <w:t xml:space="preserve">Change </w:t>
            </w:r>
          </w:p>
        </w:tc>
      </w:tr>
      <w:tr w:rsidR="006D1DB8" w14:paraId="4AFDA1BE"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4214A8A7"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D96E955" w14:textId="77777777" w:rsidR="006D1DB8" w:rsidRDefault="006D1DB8">
            <w:pPr>
              <w:spacing w:before="0"/>
              <w:rPr>
                <w:szCs w:val="24"/>
                <w:lang w:val="en-GB"/>
              </w:rPr>
            </w:pPr>
          </w:p>
        </w:tc>
        <w:tc>
          <w:tcPr>
            <w:tcW w:w="3733" w:type="dxa"/>
            <w:vMerge w:val="restart"/>
            <w:tcBorders>
              <w:top w:val="nil"/>
              <w:right w:val="nil"/>
            </w:tcBorders>
            <w:shd w:val="clear" w:color="auto" w:fill="auto"/>
          </w:tcPr>
          <w:p w14:paraId="1182337B" w14:textId="77777777" w:rsidR="006D1DB8" w:rsidRDefault="006D1DB8">
            <w:pPr>
              <w:spacing w:before="0"/>
              <w:rPr>
                <w:szCs w:val="24"/>
                <w:lang w:val="en-GB"/>
              </w:rPr>
            </w:pPr>
          </w:p>
        </w:tc>
      </w:tr>
      <w:tr w:rsidR="006D1DB8" w:rsidRPr="006D7FF8" w14:paraId="524AA001" w14:textId="77777777" w:rsidTr="006D1DB8">
        <w:tc>
          <w:tcPr>
            <w:tcW w:w="1110" w:type="dxa"/>
            <w:tcBorders>
              <w:top w:val="nil"/>
              <w:left w:val="nil"/>
              <w:bottom w:val="nil"/>
            </w:tcBorders>
          </w:tcPr>
          <w:p w14:paraId="7F32C85E" w14:textId="77777777" w:rsidR="006D1DB8" w:rsidRPr="006D7FF8" w:rsidRDefault="006D1DB8" w:rsidP="00C32DF8">
            <w:pPr>
              <w:rPr>
                <w:szCs w:val="24"/>
                <w:lang w:val="en-GB"/>
              </w:rPr>
            </w:pPr>
          </w:p>
        </w:tc>
        <w:tc>
          <w:tcPr>
            <w:tcW w:w="1110" w:type="dxa"/>
          </w:tcPr>
          <w:p w14:paraId="5A3DAFE3"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0B918D7B"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69ED5E61" w14:textId="77777777" w:rsidR="006D1DB8" w:rsidRPr="006D7FF8" w:rsidRDefault="006D1DB8">
            <w:pPr>
              <w:spacing w:before="0"/>
              <w:rPr>
                <w:szCs w:val="24"/>
                <w:lang w:val="en-GB"/>
              </w:rPr>
            </w:pPr>
          </w:p>
        </w:tc>
      </w:tr>
    </w:tbl>
    <w:p w14:paraId="13E92E5E" w14:textId="77777777" w:rsidR="004E1F21" w:rsidRDefault="006D1DB8" w:rsidP="00B8336E">
      <w:pPr>
        <w:rPr>
          <w:szCs w:val="24"/>
          <w:lang w:val="en-GB"/>
        </w:rPr>
      </w:pPr>
      <w:r>
        <w:rPr>
          <w:szCs w:val="24"/>
          <w:lang w:val="en-GB"/>
        </w:rPr>
        <w:t>Comments</w:t>
      </w:r>
      <w:r w:rsidR="004E1F21">
        <w:rPr>
          <w:szCs w:val="24"/>
          <w:lang w:val="en-GB"/>
        </w:rPr>
        <w:t>:</w:t>
      </w:r>
    </w:p>
    <w:p w14:paraId="73A4841E"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12E145A3" w14:textId="77777777" w:rsidTr="003D2EF8">
        <w:trPr>
          <w:gridAfter w:val="2"/>
          <w:wAfter w:w="7084" w:type="dxa"/>
        </w:trPr>
        <w:tc>
          <w:tcPr>
            <w:tcW w:w="1853" w:type="dxa"/>
            <w:gridSpan w:val="2"/>
            <w:tcBorders>
              <w:top w:val="single" w:sz="4" w:space="0" w:color="auto"/>
              <w:right w:val="single" w:sz="4" w:space="0" w:color="auto"/>
            </w:tcBorders>
          </w:tcPr>
          <w:p w14:paraId="4516B317" w14:textId="77777777" w:rsidR="006D1DB8" w:rsidRPr="00E3221E" w:rsidRDefault="006D1DB8" w:rsidP="002F740D">
            <w:pPr>
              <w:rPr>
                <w:b/>
                <w:szCs w:val="24"/>
                <w:lang w:val="en-GB"/>
              </w:rPr>
            </w:pPr>
            <w:r w:rsidRPr="00E3221E">
              <w:rPr>
                <w:b/>
                <w:szCs w:val="24"/>
                <w:lang w:val="en-GB"/>
              </w:rPr>
              <w:t>Timing</w:t>
            </w:r>
          </w:p>
        </w:tc>
      </w:tr>
      <w:tr w:rsidR="006D1DB8" w:rsidRPr="00AD7CD5" w14:paraId="324A12BB" w14:textId="77777777" w:rsidTr="003D2EF8">
        <w:trPr>
          <w:gridBefore w:val="1"/>
          <w:wBefore w:w="1154" w:type="dxa"/>
          <w:trHeight w:val="501"/>
        </w:trPr>
        <w:tc>
          <w:tcPr>
            <w:tcW w:w="6486" w:type="dxa"/>
            <w:gridSpan w:val="2"/>
          </w:tcPr>
          <w:p w14:paraId="67392E3E" w14:textId="77777777" w:rsidR="006D1DB8" w:rsidRPr="006D1DB8" w:rsidRDefault="006D1DB8" w:rsidP="002F740D">
            <w:pPr>
              <w:spacing w:before="0"/>
              <w:rPr>
                <w:b/>
                <w:szCs w:val="24"/>
                <w:lang w:val="en-GB"/>
              </w:rPr>
            </w:pPr>
            <w:r w:rsidRPr="006D1DB8">
              <w:rPr>
                <w:b/>
                <w:szCs w:val="24"/>
                <w:lang w:val="en-GB"/>
              </w:rPr>
              <w:t>- Fast track maintenance</w:t>
            </w:r>
          </w:p>
          <w:p w14:paraId="17AFEAED" w14:textId="77777777" w:rsidR="006D1DB8" w:rsidRPr="006D7FF8" w:rsidRDefault="006D1DB8" w:rsidP="006D1DB8">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using the fast track maintenance process) </w:t>
            </w:r>
          </w:p>
        </w:tc>
        <w:tc>
          <w:tcPr>
            <w:tcW w:w="1297" w:type="dxa"/>
            <w:tcBorders>
              <w:bottom w:val="single" w:sz="4" w:space="0" w:color="auto"/>
            </w:tcBorders>
          </w:tcPr>
          <w:p w14:paraId="52D436E0" w14:textId="77777777" w:rsidR="006D1DB8" w:rsidRPr="00AD7CD5" w:rsidRDefault="006D1DB8" w:rsidP="002F740D">
            <w:pPr>
              <w:spacing w:before="0"/>
              <w:jc w:val="both"/>
              <w:rPr>
                <w:color w:val="FF0000"/>
                <w:szCs w:val="24"/>
                <w:lang w:val="en-GB"/>
              </w:rPr>
            </w:pPr>
          </w:p>
        </w:tc>
      </w:tr>
      <w:tr w:rsidR="006D1DB8" w:rsidRPr="00AD7CD5" w14:paraId="2CA5CD77" w14:textId="77777777" w:rsidTr="003D2EF8">
        <w:trPr>
          <w:gridBefore w:val="1"/>
          <w:wBefore w:w="1154" w:type="dxa"/>
          <w:trHeight w:val="501"/>
        </w:trPr>
        <w:tc>
          <w:tcPr>
            <w:tcW w:w="6486" w:type="dxa"/>
            <w:gridSpan w:val="2"/>
          </w:tcPr>
          <w:p w14:paraId="5EBD643A"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2BAEC2C" w14:textId="77777777" w:rsidR="006D1DB8" w:rsidRDefault="006D1DB8" w:rsidP="007F4EB7">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78032B6C" w14:textId="77777777" w:rsidR="006D1DB8" w:rsidRPr="00AD7CD5" w:rsidRDefault="006D1DB8" w:rsidP="002F740D">
            <w:pPr>
              <w:spacing w:before="0"/>
              <w:jc w:val="center"/>
              <w:rPr>
                <w:color w:val="FF0000"/>
                <w:szCs w:val="24"/>
                <w:lang w:val="en-GB"/>
              </w:rPr>
            </w:pPr>
          </w:p>
        </w:tc>
      </w:tr>
    </w:tbl>
    <w:p w14:paraId="56AE8515" w14:textId="397688DE" w:rsidR="00C53BE8" w:rsidRDefault="005962C3" w:rsidP="005C4E5F">
      <w:pPr>
        <w:pStyle w:val="Subtitle"/>
        <w:rPr>
          <w:lang w:val="en-GB"/>
        </w:rPr>
      </w:pPr>
      <w:r>
        <w:rPr>
          <w:lang w:val="en-GB"/>
        </w:rPr>
        <w:br w:type="page"/>
      </w:r>
      <w:r w:rsidR="00C53BE8">
        <w:rPr>
          <w:lang w:val="en-GB"/>
        </w:rPr>
        <w:lastRenderedPageBreak/>
        <w:t xml:space="preserve"> </w:t>
      </w:r>
    </w:p>
    <w:p w14:paraId="3E546CDE" w14:textId="0C6BD141" w:rsidR="00140AE4" w:rsidRDefault="00D756FB" w:rsidP="00140AE4">
      <w:pPr>
        <w:pStyle w:val="Heading1"/>
        <w:jc w:val="center"/>
        <w:rPr>
          <w:lang w:val="en-GB"/>
        </w:rPr>
      </w:pPr>
      <w:r>
        <w:rPr>
          <w:lang w:val="en-GB"/>
        </w:rPr>
        <w:t>Change number #</w:t>
      </w:r>
      <w:r w:rsidR="009060D8">
        <w:rPr>
          <w:lang w:val="en-GB"/>
        </w:rPr>
        <w:t>2</w:t>
      </w:r>
    </w:p>
    <w:p w14:paraId="1F476403" w14:textId="79C1B70B" w:rsidR="00227E4E" w:rsidRDefault="00227E4E" w:rsidP="008C0C48">
      <w:pPr>
        <w:rPr>
          <w:lang w:val="en-GB"/>
        </w:rPr>
      </w:pPr>
    </w:p>
    <w:p w14:paraId="17980C12" w14:textId="77777777" w:rsidR="00227E4E" w:rsidRPr="00227E4E" w:rsidRDefault="00227E4E" w:rsidP="004D461B">
      <w:pPr>
        <w:rPr>
          <w:lang w:val="en-GB"/>
        </w:rPr>
      </w:pPr>
    </w:p>
    <w:p w14:paraId="47E14E33" w14:textId="77777777" w:rsidR="00140AE4" w:rsidRDefault="00140AE4" w:rsidP="004D461B">
      <w:pPr>
        <w:numPr>
          <w:ilvl w:val="0"/>
          <w:numId w:val="33"/>
        </w:numPr>
        <w:spacing w:after="240"/>
        <w:rPr>
          <w:b/>
          <w:lang w:val="en-GB"/>
        </w:rPr>
      </w:pPr>
      <w:r>
        <w:rPr>
          <w:b/>
          <w:lang w:val="en-GB"/>
        </w:rPr>
        <w:t>Related m</w:t>
      </w:r>
      <w:r w:rsidRPr="00451986">
        <w:rPr>
          <w:b/>
          <w:lang w:val="en-GB"/>
        </w:rPr>
        <w:t>essages:</w:t>
      </w:r>
    </w:p>
    <w:p w14:paraId="2981D44B" w14:textId="50E76EF3" w:rsidR="00C034E4" w:rsidRPr="00C034E4" w:rsidRDefault="00E02CCE" w:rsidP="00C034E4">
      <w:pPr>
        <w:rPr>
          <w:szCs w:val="24"/>
          <w:lang w:val="en-GB"/>
        </w:rPr>
      </w:pPr>
      <w:r w:rsidRPr="00DC3C0E">
        <w:rPr>
          <w:szCs w:val="24"/>
          <w:lang w:val="en-GB"/>
        </w:rPr>
        <w:t xml:space="preserve">auth.033.001.02 </w:t>
      </w:r>
      <w:proofErr w:type="spellStart"/>
      <w:r w:rsidRPr="00DC3C0E">
        <w:rPr>
          <w:szCs w:val="24"/>
          <w:lang w:val="en-GB"/>
        </w:rPr>
        <w:t>FinancialInstrumentReportingNonEquityTransparencyData</w:t>
      </w:r>
      <w:proofErr w:type="spellEnd"/>
      <w:r w:rsidRPr="00DC3C0E">
        <w:rPr>
          <w:szCs w:val="24"/>
          <w:lang w:val="en-GB"/>
        </w:rPr>
        <w:t xml:space="preserve"> Report</w:t>
      </w:r>
    </w:p>
    <w:p w14:paraId="74BA0BF2" w14:textId="77777777" w:rsidR="00140AE4" w:rsidRPr="00451986" w:rsidRDefault="00140AE4" w:rsidP="00C034E4">
      <w:pPr>
        <w:rPr>
          <w:b/>
          <w:lang w:val="en-GB"/>
        </w:rPr>
      </w:pPr>
    </w:p>
    <w:p w14:paraId="206946CA" w14:textId="77777777" w:rsidR="00140AE4" w:rsidRPr="004D461B" w:rsidRDefault="00140AE4" w:rsidP="004D461B">
      <w:pPr>
        <w:numPr>
          <w:ilvl w:val="0"/>
          <w:numId w:val="33"/>
        </w:numPr>
        <w:spacing w:after="240"/>
        <w:rPr>
          <w:b/>
          <w:lang w:val="en-GB"/>
        </w:rPr>
      </w:pPr>
      <w:r>
        <w:rPr>
          <w:b/>
          <w:lang w:val="en-GB"/>
        </w:rPr>
        <w:t>Description of the change and type of impact:</w:t>
      </w:r>
    </w:p>
    <w:p w14:paraId="06D6A6EF" w14:textId="436431E6" w:rsidR="00E02CCE" w:rsidRPr="00E02CCE" w:rsidRDefault="00E02CCE" w:rsidP="00E02CCE">
      <w:pPr>
        <w:jc w:val="both"/>
        <w:rPr>
          <w:lang w:val="en-GB"/>
        </w:rPr>
      </w:pPr>
      <w:proofErr w:type="gramStart"/>
      <w:r w:rsidRPr="00E02CCE">
        <w:rPr>
          <w:lang w:val="en-GB"/>
        </w:rPr>
        <w:t>For the purpose of</w:t>
      </w:r>
      <w:proofErr w:type="gramEnd"/>
      <w:r w:rsidRPr="00E02CCE">
        <w:rPr>
          <w:lang w:val="en-GB"/>
        </w:rPr>
        <w:t xml:space="preserve"> regulatory reporting of financial instrument transparency reference data (Regulatory Technical Standard 2), the reporting entities needs to be enabled to report an additional specified </w:t>
      </w:r>
      <w:r>
        <w:rPr>
          <w:lang w:val="en-GB"/>
        </w:rPr>
        <w:t>emission allowance instruments sub-</w:t>
      </w:r>
      <w:r w:rsidRPr="00E02CCE">
        <w:rPr>
          <w:lang w:val="en-GB"/>
        </w:rPr>
        <w:t>type in the ‘</w:t>
      </w:r>
      <w:r>
        <w:rPr>
          <w:lang w:val="en-GB"/>
        </w:rPr>
        <w:t>Emission Allowance Type</w:t>
      </w:r>
      <w:r w:rsidRPr="00E02CCE">
        <w:rPr>
          <w:lang w:val="en-GB"/>
        </w:rPr>
        <w:t>’ field</w:t>
      </w:r>
      <w:r w:rsidR="005D7DC3">
        <w:rPr>
          <w:lang w:val="en-GB"/>
        </w:rPr>
        <w:t xml:space="preserve"> (XML </w:t>
      </w:r>
      <w:r w:rsidR="00874F10">
        <w:rPr>
          <w:lang w:val="en-GB"/>
        </w:rPr>
        <w:t>path</w:t>
      </w:r>
      <w:r w:rsidR="005D7DC3">
        <w:rPr>
          <w:lang w:val="en-GB"/>
        </w:rPr>
        <w:t xml:space="preserve">: </w:t>
      </w:r>
      <w:r w:rsidR="00874F10">
        <w:rPr>
          <w:i/>
          <w:iCs/>
        </w:rPr>
        <w:t>/Document/</w:t>
      </w:r>
      <w:proofErr w:type="spellStart"/>
      <w:r w:rsidR="00874F10">
        <w:rPr>
          <w:i/>
          <w:iCs/>
        </w:rPr>
        <w:t>FinInstrmRptgNonEqtyTrnsprncyDataRpt</w:t>
      </w:r>
      <w:proofErr w:type="spellEnd"/>
      <w:r w:rsidR="00874F10">
        <w:rPr>
          <w:i/>
          <w:iCs/>
        </w:rPr>
        <w:t xml:space="preserve">/ </w:t>
      </w:r>
      <w:proofErr w:type="spellStart"/>
      <w:r w:rsidR="00874F10">
        <w:rPr>
          <w:i/>
          <w:iCs/>
        </w:rPr>
        <w:t>NonEqtyTrnsprncyData</w:t>
      </w:r>
      <w:proofErr w:type="spellEnd"/>
      <w:r w:rsidR="00874F10">
        <w:rPr>
          <w:i/>
          <w:iCs/>
        </w:rPr>
        <w:t>/</w:t>
      </w:r>
      <w:proofErr w:type="spellStart"/>
      <w:r w:rsidR="00874F10">
        <w:rPr>
          <w:i/>
          <w:iCs/>
        </w:rPr>
        <w:t>EmssnAllwncTp</w:t>
      </w:r>
      <w:proofErr w:type="spellEnd"/>
      <w:r w:rsidR="005D7DC3">
        <w:rPr>
          <w:lang w:val="en-GB"/>
        </w:rPr>
        <w:t>)</w:t>
      </w:r>
      <w:r w:rsidRPr="00E02CCE">
        <w:rPr>
          <w:lang w:val="en-GB"/>
        </w:rPr>
        <w:t>.</w:t>
      </w:r>
    </w:p>
    <w:p w14:paraId="73CECF01" w14:textId="044E3250" w:rsidR="00E02CCE" w:rsidRPr="00E02CCE" w:rsidRDefault="00E02CCE" w:rsidP="00E02CCE">
      <w:pPr>
        <w:jc w:val="both"/>
        <w:rPr>
          <w:lang w:val="en-GB"/>
        </w:rPr>
      </w:pPr>
      <w:r w:rsidRPr="00E02CCE">
        <w:rPr>
          <w:lang w:val="en-GB"/>
        </w:rPr>
        <w:t xml:space="preserve">In the current version the following </w:t>
      </w:r>
      <w:r>
        <w:rPr>
          <w:lang w:val="en-GB"/>
        </w:rPr>
        <w:t xml:space="preserve">emission allowance types are </w:t>
      </w:r>
      <w:r w:rsidRPr="00E02CCE">
        <w:rPr>
          <w:lang w:val="en-GB"/>
        </w:rPr>
        <w:t>presented in the</w:t>
      </w:r>
      <w:r w:rsidR="002979BB">
        <w:rPr>
          <w:lang w:val="en-GB"/>
        </w:rPr>
        <w:t xml:space="preserve"> </w:t>
      </w:r>
      <w:r w:rsidR="004B62D3">
        <w:rPr>
          <w:lang w:val="en-GB"/>
        </w:rPr>
        <w:t xml:space="preserve">internal </w:t>
      </w:r>
      <w:r w:rsidR="002979BB">
        <w:rPr>
          <w:lang w:val="en-GB"/>
        </w:rPr>
        <w:t>derived</w:t>
      </w:r>
      <w:r w:rsidRPr="00E02CCE">
        <w:rPr>
          <w:lang w:val="en-GB"/>
        </w:rPr>
        <w:t xml:space="preserve"> code-list</w:t>
      </w:r>
      <w:r w:rsidR="00227E4E">
        <w:rPr>
          <w:lang w:val="en-GB"/>
        </w:rPr>
        <w:t xml:space="preserve"> (EmissionAllowanceProductType2Code)</w:t>
      </w:r>
      <w:r w:rsidRPr="00E02CCE">
        <w:rPr>
          <w:lang w:val="en-GB"/>
        </w:rPr>
        <w:t>:</w:t>
      </w:r>
    </w:p>
    <w:p w14:paraId="5FE84254" w14:textId="516174E3" w:rsidR="00E02CCE" w:rsidRPr="00E02CCE" w:rsidRDefault="005D7DC3" w:rsidP="00E02CCE">
      <w:pPr>
        <w:pStyle w:val="ListParagraph"/>
        <w:numPr>
          <w:ilvl w:val="0"/>
          <w:numId w:val="30"/>
        </w:numPr>
        <w:spacing w:before="0"/>
        <w:jc w:val="both"/>
        <w:rPr>
          <w:lang w:val="en-GB"/>
        </w:rPr>
      </w:pPr>
      <w:r>
        <w:rPr>
          <w:lang w:val="en-GB"/>
        </w:rPr>
        <w:t xml:space="preserve">CER </w:t>
      </w:r>
      <w:r w:rsidR="00E02CCE" w:rsidRPr="00E02CCE">
        <w:rPr>
          <w:lang w:val="en-GB"/>
        </w:rPr>
        <w:t>[</w:t>
      </w:r>
      <w:r>
        <w:rPr>
          <w:lang w:val="en-GB"/>
        </w:rPr>
        <w:t>CERE]</w:t>
      </w:r>
      <w:r w:rsidR="00874F10">
        <w:rPr>
          <w:lang w:val="en-GB"/>
        </w:rPr>
        <w:t xml:space="preserve"> – </w:t>
      </w:r>
      <w:r w:rsidR="00687DEA">
        <w:rPr>
          <w:lang w:val="en-GB"/>
        </w:rPr>
        <w:t>C</w:t>
      </w:r>
      <w:r w:rsidR="00874F10">
        <w:rPr>
          <w:lang w:val="en-GB"/>
        </w:rPr>
        <w:t>ertified Emission Reduction</w:t>
      </w:r>
    </w:p>
    <w:p w14:paraId="6C456D80" w14:textId="72E05022" w:rsidR="00E02CCE" w:rsidRPr="00E02CCE" w:rsidRDefault="005D7DC3" w:rsidP="00E02CCE">
      <w:pPr>
        <w:pStyle w:val="ListParagraph"/>
        <w:numPr>
          <w:ilvl w:val="0"/>
          <w:numId w:val="30"/>
        </w:numPr>
        <w:spacing w:before="0"/>
        <w:jc w:val="both"/>
        <w:rPr>
          <w:lang w:val="en-GB"/>
        </w:rPr>
      </w:pPr>
      <w:r>
        <w:rPr>
          <w:lang w:val="en-GB"/>
        </w:rPr>
        <w:t xml:space="preserve">ERU </w:t>
      </w:r>
      <w:r w:rsidR="00E02CCE" w:rsidRPr="00E02CCE">
        <w:rPr>
          <w:lang w:val="en-GB"/>
        </w:rPr>
        <w:t>[</w:t>
      </w:r>
      <w:r>
        <w:rPr>
          <w:lang w:val="en-GB"/>
        </w:rPr>
        <w:t>ERUE]</w:t>
      </w:r>
      <w:r w:rsidR="00874F10">
        <w:rPr>
          <w:lang w:val="en-GB"/>
        </w:rPr>
        <w:t xml:space="preserve"> – Emission Reduction Units</w:t>
      </w:r>
    </w:p>
    <w:p w14:paraId="3E86B14D" w14:textId="22CE005C" w:rsidR="00E02CCE" w:rsidRPr="00E02CCE" w:rsidRDefault="005D7DC3" w:rsidP="00E02CCE">
      <w:pPr>
        <w:pStyle w:val="ListParagraph"/>
        <w:numPr>
          <w:ilvl w:val="0"/>
          <w:numId w:val="30"/>
        </w:numPr>
        <w:spacing w:before="0"/>
        <w:jc w:val="both"/>
        <w:rPr>
          <w:lang w:val="en-GB"/>
        </w:rPr>
      </w:pPr>
      <w:r>
        <w:rPr>
          <w:lang w:val="en-GB"/>
        </w:rPr>
        <w:t xml:space="preserve">EUA </w:t>
      </w:r>
      <w:r w:rsidR="00E02CCE" w:rsidRPr="00E02CCE">
        <w:rPr>
          <w:lang w:val="en-GB"/>
        </w:rPr>
        <w:t>[</w:t>
      </w:r>
      <w:r>
        <w:rPr>
          <w:lang w:val="en-GB"/>
        </w:rPr>
        <w:t>EUAE</w:t>
      </w:r>
      <w:r w:rsidR="00E02CCE" w:rsidRPr="00E02CCE">
        <w:rPr>
          <w:lang w:val="en-GB"/>
        </w:rPr>
        <w:t>]</w:t>
      </w:r>
      <w:r w:rsidR="00687DEA">
        <w:rPr>
          <w:lang w:val="en-GB"/>
        </w:rPr>
        <w:t xml:space="preserve"> – European Union Allowance  </w:t>
      </w:r>
    </w:p>
    <w:p w14:paraId="504C9CBB" w14:textId="3CE5C7BA" w:rsidR="00E02CCE" w:rsidRPr="00E02CCE" w:rsidRDefault="005D7DC3" w:rsidP="00E02CCE">
      <w:pPr>
        <w:pStyle w:val="ListParagraph"/>
        <w:numPr>
          <w:ilvl w:val="0"/>
          <w:numId w:val="30"/>
        </w:numPr>
        <w:spacing w:before="0"/>
        <w:jc w:val="both"/>
        <w:rPr>
          <w:lang w:val="en-GB"/>
        </w:rPr>
      </w:pPr>
      <w:r>
        <w:rPr>
          <w:lang w:val="en-GB"/>
        </w:rPr>
        <w:t>EUAA</w:t>
      </w:r>
      <w:r w:rsidR="00E02CCE" w:rsidRPr="00E02CCE">
        <w:rPr>
          <w:lang w:val="en-GB"/>
        </w:rPr>
        <w:t xml:space="preserve"> [E</w:t>
      </w:r>
      <w:r>
        <w:rPr>
          <w:lang w:val="en-GB"/>
        </w:rPr>
        <w:t>UAA</w:t>
      </w:r>
      <w:r w:rsidR="00E02CCE" w:rsidRPr="00E02CCE">
        <w:rPr>
          <w:lang w:val="en-GB"/>
        </w:rPr>
        <w:t>]</w:t>
      </w:r>
      <w:r w:rsidR="00687DEA">
        <w:rPr>
          <w:lang w:val="en-GB"/>
        </w:rPr>
        <w:t xml:space="preserve"> – European Union Aviation Allowance  </w:t>
      </w:r>
    </w:p>
    <w:p w14:paraId="595B3952" w14:textId="1582794C" w:rsidR="00E02CCE" w:rsidRPr="005D7DC3" w:rsidRDefault="00E02CCE" w:rsidP="005D7DC3">
      <w:pPr>
        <w:jc w:val="both"/>
        <w:rPr>
          <w:lang w:val="en-GB"/>
        </w:rPr>
      </w:pPr>
      <w:r w:rsidRPr="005D7DC3">
        <w:rPr>
          <w:lang w:val="en-GB"/>
        </w:rPr>
        <w:t>The new type that needs to be enabled for the transparency reporting is ‘O</w:t>
      </w:r>
      <w:r w:rsidR="005D7DC3">
        <w:rPr>
          <w:lang w:val="en-GB"/>
        </w:rPr>
        <w:t>THR</w:t>
      </w:r>
      <w:r w:rsidRPr="005D7DC3">
        <w:rPr>
          <w:lang w:val="en-GB"/>
        </w:rPr>
        <w:t>’ (other)</w:t>
      </w:r>
      <w:r w:rsidR="002979BB">
        <w:rPr>
          <w:lang w:val="en-GB"/>
        </w:rPr>
        <w:t xml:space="preserve"> which is already part of the existing master code set</w:t>
      </w:r>
      <w:r w:rsidRPr="005D7DC3">
        <w:rPr>
          <w:lang w:val="en-GB"/>
        </w:rPr>
        <w:t xml:space="preserve">, but </w:t>
      </w:r>
      <w:r w:rsidR="005D7DC3">
        <w:rPr>
          <w:lang w:val="en-GB"/>
        </w:rPr>
        <w:t xml:space="preserve">to </w:t>
      </w:r>
      <w:r w:rsidR="002979BB">
        <w:rPr>
          <w:lang w:val="en-GB"/>
        </w:rPr>
        <w:t>facilitate future potential (and more frequent)</w:t>
      </w:r>
      <w:r w:rsidR="005D7DC3">
        <w:rPr>
          <w:lang w:val="en-GB"/>
        </w:rPr>
        <w:t xml:space="preserve"> changes when the code list needs to be amended, </w:t>
      </w:r>
      <w:r w:rsidRPr="005D7DC3">
        <w:rPr>
          <w:lang w:val="en-GB"/>
        </w:rPr>
        <w:t xml:space="preserve">the </w:t>
      </w:r>
      <w:r w:rsidR="00874F10" w:rsidRPr="005D7DC3">
        <w:rPr>
          <w:lang w:val="en-GB"/>
        </w:rPr>
        <w:t>list should</w:t>
      </w:r>
      <w:r w:rsidRPr="005D7DC3">
        <w:rPr>
          <w:lang w:val="en-GB"/>
        </w:rPr>
        <w:t xml:space="preserve"> be maintained via an externalised code list.</w:t>
      </w:r>
    </w:p>
    <w:p w14:paraId="242C09CE" w14:textId="2ABADEB9" w:rsidR="00F8620A" w:rsidRPr="005D7DC3" w:rsidRDefault="00E02CCE" w:rsidP="005D7DC3">
      <w:pPr>
        <w:rPr>
          <w:lang w:val="en-GB"/>
        </w:rPr>
      </w:pPr>
      <w:r w:rsidRPr="005D7DC3">
        <w:rPr>
          <w:lang w:val="en-GB"/>
        </w:rPr>
        <w:t xml:space="preserve">The </w:t>
      </w:r>
      <w:r w:rsidR="005D7DC3">
        <w:rPr>
          <w:lang w:val="en-GB"/>
        </w:rPr>
        <w:t>Emission Allowance Type</w:t>
      </w:r>
      <w:r w:rsidRPr="005D7DC3">
        <w:rPr>
          <w:lang w:val="en-GB"/>
        </w:rPr>
        <w:t xml:space="preserve"> field is now </w:t>
      </w:r>
      <w:r w:rsidR="005D7DC3">
        <w:rPr>
          <w:lang w:val="en-GB"/>
        </w:rPr>
        <w:t xml:space="preserve">an </w:t>
      </w:r>
      <w:r w:rsidRPr="005D7DC3">
        <w:rPr>
          <w:lang w:val="en-GB"/>
        </w:rPr>
        <w:t xml:space="preserve">optional field [0,1] populated with </w:t>
      </w:r>
      <w:r w:rsidR="005D7DC3">
        <w:rPr>
          <w:lang w:val="en-GB"/>
        </w:rPr>
        <w:t>EmissionAllowanceProductType2Code</w:t>
      </w:r>
      <w:r w:rsidRPr="005D7DC3">
        <w:rPr>
          <w:lang w:val="en-GB"/>
        </w:rPr>
        <w:t xml:space="preserve">, restricted from the </w:t>
      </w:r>
      <w:proofErr w:type="spellStart"/>
      <w:r w:rsidR="005D7DC3">
        <w:rPr>
          <w:lang w:val="en-GB"/>
        </w:rPr>
        <w:t>AssetClassDetailedSubProductTypeCode</w:t>
      </w:r>
      <w:proofErr w:type="spellEnd"/>
      <w:r w:rsidR="005D7DC3">
        <w:rPr>
          <w:lang w:val="en-GB"/>
        </w:rPr>
        <w:t xml:space="preserve"> </w:t>
      </w:r>
      <w:r w:rsidRPr="005D7DC3">
        <w:rPr>
          <w:lang w:val="en-GB"/>
        </w:rPr>
        <w:t xml:space="preserve">list, which specifies the </w:t>
      </w:r>
      <w:r w:rsidR="005D7DC3" w:rsidRPr="005D7DC3">
        <w:rPr>
          <w:lang w:val="en-GB"/>
        </w:rPr>
        <w:t>detailed sub product types allowed for commodity derivative</w:t>
      </w:r>
      <w:r w:rsidR="005D7DC3">
        <w:rPr>
          <w:lang w:val="en-GB"/>
        </w:rPr>
        <w:t>s</w:t>
      </w:r>
      <w:r w:rsidRPr="005D7DC3">
        <w:rPr>
          <w:lang w:val="en-GB"/>
        </w:rPr>
        <w:t xml:space="preserve"> with a 4-characters length code.</w:t>
      </w:r>
    </w:p>
    <w:p w14:paraId="628DBE03" w14:textId="77777777" w:rsidR="001506B5" w:rsidRDefault="001506B5" w:rsidP="00140AE4">
      <w:pPr>
        <w:rPr>
          <w:lang w:val="en-GB"/>
        </w:rPr>
      </w:pPr>
    </w:p>
    <w:p w14:paraId="43E3AA12" w14:textId="77777777" w:rsidR="00140AE4" w:rsidRPr="005F05DB" w:rsidRDefault="00140AE4" w:rsidP="004D461B">
      <w:pPr>
        <w:numPr>
          <w:ilvl w:val="0"/>
          <w:numId w:val="33"/>
        </w:numPr>
        <w:spacing w:after="240"/>
        <w:rPr>
          <w:b/>
          <w:lang w:val="en-GB"/>
        </w:rPr>
      </w:pPr>
      <w:r>
        <w:rPr>
          <w:b/>
          <w:lang w:val="en-GB"/>
        </w:rPr>
        <w:t>Proposed implementation:</w:t>
      </w:r>
      <w:r w:rsidRPr="004D461B">
        <w:rPr>
          <w:b/>
          <w:lang w:val="en-GB"/>
        </w:rPr>
        <w:t xml:space="preserve"> </w:t>
      </w:r>
    </w:p>
    <w:p w14:paraId="11699B8B" w14:textId="77777777" w:rsidR="005D7DC3" w:rsidRDefault="005D7DC3" w:rsidP="005D7DC3">
      <w:pPr>
        <w:jc w:val="both"/>
        <w:rPr>
          <w:lang w:val="en-GB"/>
        </w:rPr>
      </w:pPr>
      <w:r>
        <w:rPr>
          <w:lang w:val="en-GB"/>
        </w:rPr>
        <w:t>ESMA proposes the following solution:</w:t>
      </w:r>
    </w:p>
    <w:p w14:paraId="1B80EA61" w14:textId="07A3CFC4" w:rsidR="005D7DC3" w:rsidRDefault="005D7DC3" w:rsidP="005D7DC3">
      <w:pPr>
        <w:pStyle w:val="ListParagraph"/>
        <w:numPr>
          <w:ilvl w:val="0"/>
          <w:numId w:val="28"/>
        </w:numPr>
        <w:jc w:val="both"/>
        <w:rPr>
          <w:lang w:val="en-GB"/>
        </w:rPr>
      </w:pPr>
      <w:r w:rsidRPr="008B3F34">
        <w:rPr>
          <w:lang w:val="en-GB"/>
        </w:rPr>
        <w:t xml:space="preserve">Creation of </w:t>
      </w:r>
      <w:proofErr w:type="spellStart"/>
      <w:r w:rsidRPr="008B3F34">
        <w:rPr>
          <w:lang w:val="en-GB"/>
        </w:rPr>
        <w:t>External</w:t>
      </w:r>
      <w:r w:rsidR="00874F10">
        <w:rPr>
          <w:lang w:val="en-GB"/>
        </w:rPr>
        <w:t>AssetClassDetailedSubProduct</w:t>
      </w:r>
      <w:r w:rsidRPr="008B3F34">
        <w:rPr>
          <w:lang w:val="en-GB"/>
        </w:rPr>
        <w:t>TypeCode</w:t>
      </w:r>
      <w:proofErr w:type="spellEnd"/>
      <w:r>
        <w:rPr>
          <w:lang w:val="en-GB"/>
        </w:rPr>
        <w:t xml:space="preserve"> </w:t>
      </w:r>
      <w:r w:rsidR="002979BB">
        <w:rPr>
          <w:lang w:val="en-GB"/>
        </w:rPr>
        <w:t>master code set</w:t>
      </w:r>
      <w:r w:rsidRPr="008B3F34">
        <w:rPr>
          <w:lang w:val="en-GB"/>
        </w:rPr>
        <w:t>.</w:t>
      </w:r>
    </w:p>
    <w:p w14:paraId="4E971D7F" w14:textId="4FFCAB28" w:rsidR="00874F10" w:rsidRDefault="005D7DC3" w:rsidP="005D7DC3">
      <w:pPr>
        <w:pStyle w:val="ListParagraph"/>
        <w:numPr>
          <w:ilvl w:val="0"/>
          <w:numId w:val="28"/>
        </w:numPr>
        <w:jc w:val="both"/>
        <w:rPr>
          <w:lang w:val="en-GB"/>
        </w:rPr>
      </w:pPr>
      <w:r>
        <w:rPr>
          <w:lang w:val="en-GB"/>
        </w:rPr>
        <w:t xml:space="preserve">The currently used </w:t>
      </w:r>
      <w:r w:rsidR="00874F10">
        <w:rPr>
          <w:lang w:val="en-GB"/>
        </w:rPr>
        <w:t>EmissionAllowanceProductType2Code</w:t>
      </w:r>
      <w:r>
        <w:rPr>
          <w:lang w:val="en-GB"/>
        </w:rPr>
        <w:t xml:space="preserve"> </w:t>
      </w:r>
      <w:r w:rsidR="00884E83" w:rsidRPr="00E02CCE">
        <w:rPr>
          <w:lang w:val="en-GB"/>
        </w:rPr>
        <w:t>in the ‘</w:t>
      </w:r>
      <w:r w:rsidR="00884E83">
        <w:rPr>
          <w:lang w:val="en-GB"/>
        </w:rPr>
        <w:t>Emission Allowance Type</w:t>
      </w:r>
      <w:r w:rsidR="00884E83" w:rsidRPr="00E02CCE">
        <w:rPr>
          <w:lang w:val="en-GB"/>
        </w:rPr>
        <w:t>’ field</w:t>
      </w:r>
      <w:r w:rsidR="00884E83">
        <w:rPr>
          <w:lang w:val="en-GB"/>
        </w:rPr>
        <w:t xml:space="preserve"> (</w:t>
      </w:r>
      <w:r w:rsidR="00884E83">
        <w:rPr>
          <w:i/>
          <w:iCs/>
        </w:rPr>
        <w:t>/Document/</w:t>
      </w:r>
      <w:proofErr w:type="spellStart"/>
      <w:r w:rsidR="00884E83">
        <w:rPr>
          <w:i/>
          <w:iCs/>
        </w:rPr>
        <w:t>FinInstrmRptgNonEqtyTrnsprncyDataRpt</w:t>
      </w:r>
      <w:proofErr w:type="spellEnd"/>
      <w:r w:rsidR="00884E83">
        <w:rPr>
          <w:i/>
          <w:iCs/>
        </w:rPr>
        <w:t xml:space="preserve">/ </w:t>
      </w:r>
      <w:proofErr w:type="spellStart"/>
      <w:r w:rsidR="00884E83">
        <w:rPr>
          <w:i/>
          <w:iCs/>
        </w:rPr>
        <w:t>NonEqtyTrnsprncyData</w:t>
      </w:r>
      <w:proofErr w:type="spellEnd"/>
      <w:r w:rsidR="00884E83">
        <w:rPr>
          <w:i/>
          <w:iCs/>
        </w:rPr>
        <w:t>/</w:t>
      </w:r>
      <w:proofErr w:type="spellStart"/>
      <w:r w:rsidR="00884E83">
        <w:rPr>
          <w:i/>
          <w:iCs/>
        </w:rPr>
        <w:t>EmssnAllwncTp</w:t>
      </w:r>
      <w:proofErr w:type="spellEnd"/>
      <w:r w:rsidR="00884E83">
        <w:rPr>
          <w:lang w:val="en-GB"/>
        </w:rPr>
        <w:t xml:space="preserve">) </w:t>
      </w:r>
      <w:r>
        <w:rPr>
          <w:lang w:val="en-GB"/>
        </w:rPr>
        <w:t xml:space="preserve">will be replaced by the </w:t>
      </w:r>
      <w:r w:rsidR="002979BB">
        <w:rPr>
          <w:lang w:val="en-GB"/>
        </w:rPr>
        <w:t xml:space="preserve">code set </w:t>
      </w:r>
      <w:r w:rsidR="00874F10" w:rsidRPr="008B3F34">
        <w:rPr>
          <w:lang w:val="en-GB"/>
        </w:rPr>
        <w:t>External</w:t>
      </w:r>
      <w:r w:rsidR="00874F10">
        <w:rPr>
          <w:lang w:val="en-GB"/>
        </w:rPr>
        <w:t>AssetClassDetailedSubProduct</w:t>
      </w:r>
      <w:r w:rsidR="00874F10" w:rsidRPr="008B3F34">
        <w:rPr>
          <w:lang w:val="en-GB"/>
        </w:rPr>
        <w:t>Type1Code</w:t>
      </w:r>
      <w:r>
        <w:rPr>
          <w:lang w:val="en-GB"/>
        </w:rPr>
        <w:t xml:space="preserve"> </w:t>
      </w:r>
      <w:r w:rsidR="002979BB">
        <w:rPr>
          <w:lang w:val="en-GB"/>
        </w:rPr>
        <w:t>(from the new master code set)</w:t>
      </w:r>
      <w:r>
        <w:rPr>
          <w:lang w:val="en-GB"/>
        </w:rPr>
        <w:t xml:space="preserve">. The </w:t>
      </w:r>
      <w:r w:rsidR="002979BB">
        <w:rPr>
          <w:lang w:val="en-GB"/>
        </w:rPr>
        <w:t xml:space="preserve">schema element </w:t>
      </w:r>
      <w:r>
        <w:rPr>
          <w:lang w:val="en-GB"/>
        </w:rPr>
        <w:t xml:space="preserve">remains </w:t>
      </w:r>
      <w:r w:rsidR="00884E83">
        <w:rPr>
          <w:lang w:val="en-GB"/>
        </w:rPr>
        <w:t>‘</w:t>
      </w:r>
      <w:r>
        <w:rPr>
          <w:lang w:val="en-GB"/>
        </w:rPr>
        <w:t>optional</w:t>
      </w:r>
      <w:r w:rsidR="00884E83">
        <w:rPr>
          <w:lang w:val="en-GB"/>
        </w:rPr>
        <w:t>’</w:t>
      </w:r>
      <w:r>
        <w:rPr>
          <w:lang w:val="en-GB"/>
        </w:rPr>
        <w:t xml:space="preserve"> [0,1]</w:t>
      </w:r>
      <w:r w:rsidR="00884E83">
        <w:rPr>
          <w:lang w:val="en-GB"/>
        </w:rPr>
        <w:t>.</w:t>
      </w:r>
    </w:p>
    <w:p w14:paraId="751D5CEA" w14:textId="77777777" w:rsidR="00227E4E" w:rsidRDefault="00227E4E" w:rsidP="008C0C48">
      <w:pPr>
        <w:jc w:val="both"/>
        <w:rPr>
          <w:lang w:val="en-GB"/>
        </w:rPr>
      </w:pPr>
    </w:p>
    <w:p w14:paraId="1431046E" w14:textId="77777777" w:rsidR="00227E4E" w:rsidRDefault="00227E4E" w:rsidP="008C0C48">
      <w:pPr>
        <w:jc w:val="both"/>
        <w:rPr>
          <w:lang w:val="en-GB"/>
        </w:rPr>
      </w:pPr>
    </w:p>
    <w:p w14:paraId="35B90E0F" w14:textId="77777777" w:rsidR="00884E83" w:rsidRDefault="00884E83" w:rsidP="008C0C48">
      <w:pPr>
        <w:jc w:val="both"/>
        <w:rPr>
          <w:lang w:val="en-GB"/>
        </w:rPr>
      </w:pPr>
    </w:p>
    <w:p w14:paraId="1ADD602C" w14:textId="77777777" w:rsidR="00884E83" w:rsidRDefault="00884E83" w:rsidP="008C0C48">
      <w:pPr>
        <w:jc w:val="both"/>
        <w:rPr>
          <w:lang w:val="en-GB"/>
        </w:rPr>
      </w:pPr>
    </w:p>
    <w:p w14:paraId="6FB47090" w14:textId="50E87C79" w:rsidR="008E33D3" w:rsidRDefault="008E33D3" w:rsidP="008C0C48">
      <w:pPr>
        <w:jc w:val="both"/>
        <w:rPr>
          <w:lang w:val="en-GB"/>
        </w:rPr>
      </w:pPr>
      <w:r w:rsidRPr="008E33D3">
        <w:rPr>
          <w:lang w:val="en-GB"/>
        </w:rPr>
        <w:t xml:space="preserve">The master code </w:t>
      </w:r>
      <w:proofErr w:type="gramStart"/>
      <w:r w:rsidRPr="008E33D3">
        <w:rPr>
          <w:lang w:val="en-GB"/>
        </w:rPr>
        <w:t>set</w:t>
      </w:r>
      <w:proofErr w:type="gramEnd"/>
      <w:r w:rsidRPr="008E33D3">
        <w:rPr>
          <w:lang w:val="en-GB"/>
        </w:rPr>
        <w:t xml:space="preserve"> </w:t>
      </w:r>
      <w:r w:rsidR="00884E83">
        <w:rPr>
          <w:lang w:val="en-GB"/>
        </w:rPr>
        <w:t xml:space="preserve">and the externalised code set </w:t>
      </w:r>
      <w:r w:rsidRPr="008E33D3">
        <w:rPr>
          <w:lang w:val="en-GB"/>
        </w:rPr>
        <w:t>will include the following elements:</w:t>
      </w:r>
    </w:p>
    <w:p w14:paraId="685EA0B5" w14:textId="77777777" w:rsidR="00884E83" w:rsidRDefault="00884E83" w:rsidP="008C0C48">
      <w:pPr>
        <w:jc w:val="both"/>
        <w:rPr>
          <w:lang w:val="en-GB"/>
        </w:rPr>
      </w:pPr>
    </w:p>
    <w:p w14:paraId="6FF6362C" w14:textId="217A3415" w:rsidR="008E33D3" w:rsidRPr="008E33D3" w:rsidRDefault="008E33D3" w:rsidP="004D461B">
      <w:pPr>
        <w:spacing w:before="0"/>
        <w:jc w:val="both"/>
        <w:rPr>
          <w:lang w:val="en-GB"/>
        </w:rPr>
      </w:pPr>
      <w:r>
        <w:rPr>
          <w:noProof/>
        </w:rPr>
        <w:drawing>
          <wp:inline distT="0" distB="0" distL="0" distR="0" wp14:anchorId="4ABFC8A4" wp14:editId="384A80ED">
            <wp:extent cx="3035660" cy="5397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0248"/>
                    <a:stretch/>
                  </pic:blipFill>
                  <pic:spPr bwMode="auto">
                    <a:xfrm>
                      <a:off x="0" y="0"/>
                      <a:ext cx="3039453" cy="5404245"/>
                    </a:xfrm>
                    <a:prstGeom prst="rect">
                      <a:avLst/>
                    </a:prstGeom>
                    <a:ln>
                      <a:noFill/>
                    </a:ln>
                    <a:extLst>
                      <a:ext uri="{53640926-AAD7-44D8-BBD7-CCE9431645EC}">
                        <a14:shadowObscured xmlns:a14="http://schemas.microsoft.com/office/drawing/2010/main"/>
                      </a:ext>
                    </a:extLst>
                  </pic:spPr>
                </pic:pic>
              </a:graphicData>
            </a:graphic>
          </wp:inline>
        </w:drawing>
      </w:r>
      <w:r w:rsidRPr="008E33D3">
        <w:rPr>
          <w:noProof/>
        </w:rPr>
        <w:t xml:space="preserve"> </w:t>
      </w:r>
      <w:r>
        <w:rPr>
          <w:noProof/>
        </w:rPr>
        <w:drawing>
          <wp:inline distT="0" distB="0" distL="0" distR="0" wp14:anchorId="2B9B888B" wp14:editId="05BDDAA8">
            <wp:extent cx="2417552" cy="539242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31497" cy="5423524"/>
                    </a:xfrm>
                    <a:prstGeom prst="rect">
                      <a:avLst/>
                    </a:prstGeom>
                  </pic:spPr>
                </pic:pic>
              </a:graphicData>
            </a:graphic>
          </wp:inline>
        </w:drawing>
      </w:r>
    </w:p>
    <w:p w14:paraId="79BD0609" w14:textId="77777777" w:rsidR="00227E4E" w:rsidRDefault="00227E4E" w:rsidP="002979BB">
      <w:pPr>
        <w:jc w:val="both"/>
        <w:rPr>
          <w:lang w:val="en-GB"/>
        </w:rPr>
        <w:sectPr w:rsidR="00227E4E" w:rsidSect="008E33D3">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440" w:right="1134" w:bottom="1440" w:left="1797" w:header="720" w:footer="720" w:gutter="0"/>
          <w:cols w:space="720"/>
          <w:docGrid w:linePitch="326"/>
        </w:sectPr>
      </w:pPr>
    </w:p>
    <w:p w14:paraId="3AD0F0CE" w14:textId="7A141330" w:rsidR="002979BB" w:rsidRDefault="002979BB" w:rsidP="002979BB">
      <w:pPr>
        <w:jc w:val="both"/>
        <w:rPr>
          <w:lang w:val="en-GB"/>
        </w:rPr>
      </w:pPr>
    </w:p>
    <w:p w14:paraId="6F3117BD" w14:textId="6577CCE3" w:rsidR="00227E4E" w:rsidRDefault="00884E83" w:rsidP="002979BB">
      <w:pPr>
        <w:jc w:val="both"/>
        <w:rPr>
          <w:lang w:val="en-GB"/>
        </w:rPr>
      </w:pPr>
      <w:r>
        <w:rPr>
          <w:lang w:val="en-GB"/>
        </w:rPr>
        <w:t xml:space="preserve"> </w:t>
      </w:r>
    </w:p>
    <w:p w14:paraId="639D8C6A" w14:textId="77777777" w:rsidR="00227E4E" w:rsidRDefault="00227E4E" w:rsidP="005C4E5F">
      <w:pPr>
        <w:jc w:val="both"/>
        <w:rPr>
          <w:lang w:val="en-GB"/>
        </w:rPr>
        <w:sectPr w:rsidR="00227E4E" w:rsidSect="004D461B">
          <w:type w:val="continuous"/>
          <w:pgSz w:w="11909" w:h="16834" w:code="9"/>
          <w:pgMar w:top="1440" w:right="1134" w:bottom="1440" w:left="1797" w:header="720" w:footer="720" w:gutter="0"/>
          <w:cols w:num="2" w:space="720"/>
          <w:docGrid w:linePitch="326"/>
        </w:sectPr>
      </w:pPr>
    </w:p>
    <w:tbl>
      <w:tblPr>
        <w:tblW w:w="11554" w:type="dxa"/>
        <w:tblInd w:w="-1276" w:type="dxa"/>
        <w:tblLook w:val="04A0" w:firstRow="1" w:lastRow="0" w:firstColumn="1" w:lastColumn="0" w:noHBand="0" w:noVBand="1"/>
      </w:tblPr>
      <w:tblGrid>
        <w:gridCol w:w="5706"/>
        <w:gridCol w:w="190"/>
        <w:gridCol w:w="5658"/>
      </w:tblGrid>
      <w:tr w:rsidR="00645A47" w:rsidRPr="00066336" w14:paraId="2956926A" w14:textId="77777777" w:rsidTr="004D461B">
        <w:tc>
          <w:tcPr>
            <w:tcW w:w="5706" w:type="dxa"/>
            <w:shd w:val="clear" w:color="auto" w:fill="auto"/>
          </w:tcPr>
          <w:p w14:paraId="451888FD" w14:textId="77777777" w:rsidR="00884E83" w:rsidRDefault="00884E83" w:rsidP="002C67B9">
            <w:pPr>
              <w:jc w:val="center"/>
              <w:rPr>
                <w:b/>
                <w:u w:val="single"/>
                <w:lang w:val="en-GB"/>
              </w:rPr>
            </w:pPr>
          </w:p>
          <w:p w14:paraId="119B802A" w14:textId="77777777" w:rsidR="00884E83" w:rsidRDefault="00884E83" w:rsidP="002C67B9">
            <w:pPr>
              <w:jc w:val="center"/>
              <w:rPr>
                <w:b/>
                <w:u w:val="single"/>
                <w:lang w:val="en-GB"/>
              </w:rPr>
            </w:pPr>
          </w:p>
          <w:p w14:paraId="1AFCC8C5" w14:textId="77777777" w:rsidR="00884E83" w:rsidRDefault="00884E83" w:rsidP="002C67B9">
            <w:pPr>
              <w:jc w:val="center"/>
              <w:rPr>
                <w:b/>
                <w:u w:val="single"/>
                <w:lang w:val="en-GB"/>
              </w:rPr>
            </w:pPr>
          </w:p>
          <w:p w14:paraId="77AB6413" w14:textId="77777777" w:rsidR="00884E83" w:rsidRDefault="00884E83" w:rsidP="002C67B9">
            <w:pPr>
              <w:jc w:val="center"/>
              <w:rPr>
                <w:b/>
                <w:u w:val="single"/>
                <w:lang w:val="en-GB"/>
              </w:rPr>
            </w:pPr>
          </w:p>
          <w:p w14:paraId="47892D9C" w14:textId="77777777" w:rsidR="00884E83" w:rsidRDefault="00884E83" w:rsidP="002C67B9">
            <w:pPr>
              <w:jc w:val="center"/>
              <w:rPr>
                <w:b/>
                <w:u w:val="single"/>
                <w:lang w:val="en-GB"/>
              </w:rPr>
            </w:pPr>
          </w:p>
          <w:p w14:paraId="56CFDB8A" w14:textId="77777777" w:rsidR="00884E83" w:rsidRDefault="00884E83" w:rsidP="002C67B9">
            <w:pPr>
              <w:jc w:val="center"/>
              <w:rPr>
                <w:b/>
                <w:u w:val="single"/>
                <w:lang w:val="en-GB"/>
              </w:rPr>
            </w:pPr>
          </w:p>
          <w:p w14:paraId="0BC0A98D" w14:textId="77777777" w:rsidR="00884E83" w:rsidRDefault="00884E83" w:rsidP="002C67B9">
            <w:pPr>
              <w:jc w:val="center"/>
              <w:rPr>
                <w:b/>
                <w:u w:val="single"/>
                <w:lang w:val="en-GB"/>
              </w:rPr>
            </w:pPr>
          </w:p>
          <w:p w14:paraId="3E68F718" w14:textId="0B64A69C" w:rsidR="00645A47" w:rsidRPr="00066336" w:rsidRDefault="00645A47" w:rsidP="004D461B">
            <w:pPr>
              <w:rPr>
                <w:b/>
                <w:u w:val="single"/>
                <w:lang w:val="en-GB"/>
              </w:rPr>
            </w:pPr>
            <w:r w:rsidRPr="00066336">
              <w:rPr>
                <w:b/>
                <w:u w:val="single"/>
                <w:lang w:val="en-GB"/>
              </w:rPr>
              <w:t>Approved message</w:t>
            </w:r>
          </w:p>
        </w:tc>
        <w:tc>
          <w:tcPr>
            <w:tcW w:w="5848" w:type="dxa"/>
            <w:gridSpan w:val="2"/>
            <w:shd w:val="clear" w:color="auto" w:fill="auto"/>
          </w:tcPr>
          <w:p w14:paraId="32322BB7" w14:textId="77777777" w:rsidR="00884E83" w:rsidRDefault="00884E83" w:rsidP="002C67B9">
            <w:pPr>
              <w:jc w:val="center"/>
              <w:rPr>
                <w:b/>
                <w:u w:val="single"/>
                <w:lang w:val="en-GB"/>
              </w:rPr>
            </w:pPr>
          </w:p>
          <w:p w14:paraId="03E01C9B" w14:textId="77777777" w:rsidR="00884E83" w:rsidRDefault="00884E83" w:rsidP="002C67B9">
            <w:pPr>
              <w:jc w:val="center"/>
              <w:rPr>
                <w:b/>
                <w:u w:val="single"/>
                <w:lang w:val="en-GB"/>
              </w:rPr>
            </w:pPr>
          </w:p>
          <w:p w14:paraId="0D4980DB" w14:textId="77777777" w:rsidR="00884E83" w:rsidRDefault="00884E83" w:rsidP="002C67B9">
            <w:pPr>
              <w:jc w:val="center"/>
              <w:rPr>
                <w:b/>
                <w:u w:val="single"/>
                <w:lang w:val="en-GB"/>
              </w:rPr>
            </w:pPr>
          </w:p>
          <w:p w14:paraId="0D8F0A79" w14:textId="77777777" w:rsidR="00884E83" w:rsidRDefault="00884E83" w:rsidP="002C67B9">
            <w:pPr>
              <w:jc w:val="center"/>
              <w:rPr>
                <w:b/>
                <w:u w:val="single"/>
                <w:lang w:val="en-GB"/>
              </w:rPr>
            </w:pPr>
          </w:p>
          <w:p w14:paraId="26AF2456" w14:textId="77777777" w:rsidR="00884E83" w:rsidRDefault="00884E83" w:rsidP="002C67B9">
            <w:pPr>
              <w:jc w:val="center"/>
              <w:rPr>
                <w:b/>
                <w:u w:val="single"/>
                <w:lang w:val="en-GB"/>
              </w:rPr>
            </w:pPr>
          </w:p>
          <w:p w14:paraId="0F999FA7" w14:textId="77777777" w:rsidR="00884E83" w:rsidRDefault="00884E83" w:rsidP="002C67B9">
            <w:pPr>
              <w:jc w:val="center"/>
              <w:rPr>
                <w:b/>
                <w:u w:val="single"/>
                <w:lang w:val="en-GB"/>
              </w:rPr>
            </w:pPr>
          </w:p>
          <w:p w14:paraId="3D83582E" w14:textId="77777777" w:rsidR="00884E83" w:rsidRDefault="00884E83" w:rsidP="002C67B9">
            <w:pPr>
              <w:jc w:val="center"/>
              <w:rPr>
                <w:b/>
                <w:u w:val="single"/>
                <w:lang w:val="en-GB"/>
              </w:rPr>
            </w:pPr>
          </w:p>
          <w:p w14:paraId="5BDC3127" w14:textId="7679E642" w:rsidR="00645A47" w:rsidRPr="00066336" w:rsidRDefault="00645A47" w:rsidP="002C67B9">
            <w:pPr>
              <w:jc w:val="center"/>
              <w:rPr>
                <w:b/>
                <w:u w:val="single"/>
                <w:lang w:val="en-GB"/>
              </w:rPr>
            </w:pPr>
            <w:r w:rsidRPr="00066336">
              <w:rPr>
                <w:b/>
                <w:u w:val="single"/>
                <w:lang w:val="en-GB"/>
              </w:rPr>
              <w:t>Proposed change</w:t>
            </w:r>
          </w:p>
        </w:tc>
      </w:tr>
      <w:tr w:rsidR="00A77050" w:rsidRPr="00066336" w14:paraId="70A2BA53" w14:textId="77777777" w:rsidTr="004D461B">
        <w:tc>
          <w:tcPr>
            <w:tcW w:w="5896" w:type="dxa"/>
            <w:gridSpan w:val="2"/>
            <w:shd w:val="clear" w:color="auto" w:fill="auto"/>
          </w:tcPr>
          <w:p w14:paraId="77CE7C45" w14:textId="7A78E545" w:rsidR="00F44AF9" w:rsidRPr="00066336" w:rsidRDefault="00F44AF9" w:rsidP="00066336">
            <w:pPr>
              <w:jc w:val="center"/>
              <w:rPr>
                <w:b/>
                <w:u w:val="single"/>
                <w:lang w:val="en-GB"/>
              </w:rPr>
            </w:pPr>
          </w:p>
        </w:tc>
        <w:tc>
          <w:tcPr>
            <w:tcW w:w="5658" w:type="dxa"/>
            <w:shd w:val="clear" w:color="auto" w:fill="auto"/>
          </w:tcPr>
          <w:p w14:paraId="4782667E" w14:textId="1D950F4E" w:rsidR="00F44AF9" w:rsidRPr="00066336" w:rsidRDefault="00F44AF9" w:rsidP="00066336">
            <w:pPr>
              <w:jc w:val="center"/>
              <w:rPr>
                <w:b/>
                <w:u w:val="single"/>
                <w:lang w:val="en-GB"/>
              </w:rPr>
            </w:pPr>
          </w:p>
        </w:tc>
      </w:tr>
      <w:tr w:rsidR="00A77050" w:rsidRPr="00066336" w14:paraId="1E7AAA0C" w14:textId="77777777" w:rsidTr="004D461B">
        <w:tc>
          <w:tcPr>
            <w:tcW w:w="5896" w:type="dxa"/>
            <w:gridSpan w:val="2"/>
            <w:shd w:val="clear" w:color="auto" w:fill="auto"/>
          </w:tcPr>
          <w:p w14:paraId="2DD2F817" w14:textId="7BC4464E" w:rsidR="00F44AF9" w:rsidRPr="00066336" w:rsidRDefault="00874F10" w:rsidP="00066336">
            <w:pPr>
              <w:rPr>
                <w:lang w:val="en-GB"/>
              </w:rPr>
            </w:pPr>
            <w:r>
              <w:rPr>
                <w:noProof/>
              </w:rPr>
              <w:drawing>
                <wp:inline distT="0" distB="0" distL="0" distR="0" wp14:anchorId="3F4CB47D" wp14:editId="0BB12151">
                  <wp:extent cx="3606800" cy="2816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2606" cy="2820758"/>
                          </a:xfrm>
                          <a:prstGeom prst="rect">
                            <a:avLst/>
                          </a:prstGeom>
                          <a:noFill/>
                          <a:ln>
                            <a:noFill/>
                          </a:ln>
                        </pic:spPr>
                      </pic:pic>
                    </a:graphicData>
                  </a:graphic>
                </wp:inline>
              </w:drawing>
            </w:r>
          </w:p>
        </w:tc>
        <w:tc>
          <w:tcPr>
            <w:tcW w:w="5658" w:type="dxa"/>
            <w:shd w:val="clear" w:color="auto" w:fill="auto"/>
          </w:tcPr>
          <w:p w14:paraId="1184609A" w14:textId="36CAD299" w:rsidR="00F44AF9" w:rsidRPr="00066336" w:rsidRDefault="00874F10" w:rsidP="00066336">
            <w:pPr>
              <w:rPr>
                <w:lang w:val="en-GB"/>
              </w:rPr>
            </w:pPr>
            <w:r>
              <w:rPr>
                <w:noProof/>
              </w:rPr>
              <w:drawing>
                <wp:inline distT="0" distB="0" distL="0" distR="0" wp14:anchorId="77E7B87B" wp14:editId="57736269">
                  <wp:extent cx="3455748" cy="240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7479" cy="2415394"/>
                          </a:xfrm>
                          <a:prstGeom prst="rect">
                            <a:avLst/>
                          </a:prstGeom>
                          <a:noFill/>
                          <a:ln>
                            <a:noFill/>
                          </a:ln>
                        </pic:spPr>
                      </pic:pic>
                    </a:graphicData>
                  </a:graphic>
                </wp:inline>
              </w:drawing>
            </w:r>
          </w:p>
        </w:tc>
      </w:tr>
    </w:tbl>
    <w:p w14:paraId="10F37ADD" w14:textId="77777777" w:rsidR="00874F10" w:rsidRDefault="00874F10" w:rsidP="00874F10">
      <w:pPr>
        <w:rPr>
          <w:b/>
          <w:lang w:val="en-GB"/>
        </w:rPr>
      </w:pPr>
    </w:p>
    <w:p w14:paraId="0750E3DD" w14:textId="4DF6D26D" w:rsidR="00140AE4" w:rsidRPr="00E8579D" w:rsidRDefault="00140AE4" w:rsidP="004D461B">
      <w:pPr>
        <w:numPr>
          <w:ilvl w:val="0"/>
          <w:numId w:val="33"/>
        </w:numPr>
        <w:spacing w:after="240"/>
        <w:rPr>
          <w:b/>
          <w:lang w:val="en-GB"/>
        </w:rPr>
      </w:pPr>
      <w:r>
        <w:rPr>
          <w:b/>
          <w:lang w:val="en-GB"/>
        </w:rPr>
        <w:t>Decision of the SEG(s):</w:t>
      </w:r>
    </w:p>
    <w:p w14:paraId="45424996" w14:textId="77777777" w:rsidR="00140AE4" w:rsidRDefault="00140AE4" w:rsidP="00140AE4">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1B0DD117" w14:textId="77777777" w:rsidR="00140AE4" w:rsidRDefault="00140AE4" w:rsidP="00140AE4">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140AE4" w:rsidRPr="006D7FF8" w14:paraId="3A5171A4" w14:textId="77777777" w:rsidTr="00527DD2">
        <w:trPr>
          <w:gridAfter w:val="2"/>
          <w:wAfter w:w="4591" w:type="dxa"/>
        </w:trPr>
        <w:tc>
          <w:tcPr>
            <w:tcW w:w="2220" w:type="dxa"/>
            <w:gridSpan w:val="2"/>
          </w:tcPr>
          <w:p w14:paraId="7C1B31C6" w14:textId="77777777" w:rsidR="00140AE4" w:rsidRPr="006D1DB8" w:rsidRDefault="00140AE4" w:rsidP="00527DD2">
            <w:pPr>
              <w:rPr>
                <w:b/>
                <w:szCs w:val="24"/>
                <w:lang w:val="en-GB"/>
              </w:rPr>
            </w:pPr>
            <w:r w:rsidRPr="006D1DB8">
              <w:rPr>
                <w:b/>
                <w:szCs w:val="24"/>
                <w:lang w:val="en-GB"/>
              </w:rPr>
              <w:t xml:space="preserve">Change </w:t>
            </w:r>
          </w:p>
        </w:tc>
      </w:tr>
      <w:tr w:rsidR="00140AE4" w14:paraId="564D10C2" w14:textId="77777777" w:rsidTr="00527DD2">
        <w:tblPrEx>
          <w:tblLook w:val="0000" w:firstRow="0" w:lastRow="0" w:firstColumn="0" w:lastColumn="0" w:noHBand="0" w:noVBand="0"/>
        </w:tblPrEx>
        <w:trPr>
          <w:gridBefore w:val="1"/>
          <w:wBefore w:w="1110" w:type="dxa"/>
          <w:trHeight w:val="503"/>
        </w:trPr>
        <w:tc>
          <w:tcPr>
            <w:tcW w:w="1110" w:type="dxa"/>
            <w:tcBorders>
              <w:bottom w:val="nil"/>
            </w:tcBorders>
          </w:tcPr>
          <w:p w14:paraId="61816C07" w14:textId="77777777" w:rsidR="00140AE4" w:rsidRDefault="00140AE4" w:rsidP="00527DD2">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3D1A4560" w14:textId="77777777" w:rsidR="00140AE4" w:rsidRDefault="00140AE4" w:rsidP="00527DD2">
            <w:pPr>
              <w:spacing w:before="0"/>
              <w:rPr>
                <w:szCs w:val="24"/>
                <w:lang w:val="en-GB"/>
              </w:rPr>
            </w:pPr>
          </w:p>
        </w:tc>
        <w:tc>
          <w:tcPr>
            <w:tcW w:w="3733" w:type="dxa"/>
            <w:vMerge w:val="restart"/>
            <w:tcBorders>
              <w:top w:val="nil"/>
              <w:right w:val="nil"/>
            </w:tcBorders>
            <w:shd w:val="clear" w:color="auto" w:fill="auto"/>
          </w:tcPr>
          <w:p w14:paraId="33E43EE1" w14:textId="77777777" w:rsidR="00140AE4" w:rsidRDefault="00140AE4" w:rsidP="00527DD2">
            <w:pPr>
              <w:spacing w:before="0"/>
              <w:rPr>
                <w:szCs w:val="24"/>
                <w:lang w:val="en-GB"/>
              </w:rPr>
            </w:pPr>
          </w:p>
        </w:tc>
      </w:tr>
      <w:tr w:rsidR="00140AE4" w:rsidRPr="006D7FF8" w14:paraId="3E49B089" w14:textId="77777777" w:rsidTr="00527DD2">
        <w:tc>
          <w:tcPr>
            <w:tcW w:w="1110" w:type="dxa"/>
            <w:tcBorders>
              <w:top w:val="nil"/>
              <w:left w:val="nil"/>
              <w:bottom w:val="nil"/>
            </w:tcBorders>
          </w:tcPr>
          <w:p w14:paraId="6588C634" w14:textId="77777777" w:rsidR="00140AE4" w:rsidRPr="006D7FF8" w:rsidRDefault="00140AE4" w:rsidP="00527DD2">
            <w:pPr>
              <w:rPr>
                <w:szCs w:val="24"/>
                <w:lang w:val="en-GB"/>
              </w:rPr>
            </w:pPr>
          </w:p>
        </w:tc>
        <w:tc>
          <w:tcPr>
            <w:tcW w:w="1110" w:type="dxa"/>
          </w:tcPr>
          <w:p w14:paraId="4B28B007" w14:textId="77777777" w:rsidR="00140AE4" w:rsidRPr="006D7FF8" w:rsidRDefault="00140AE4" w:rsidP="00527DD2">
            <w:pPr>
              <w:rPr>
                <w:szCs w:val="24"/>
                <w:lang w:val="en-GB"/>
              </w:rPr>
            </w:pPr>
            <w:r>
              <w:rPr>
                <w:szCs w:val="24"/>
                <w:lang w:val="en-GB"/>
              </w:rPr>
              <w:t>rejected</w:t>
            </w:r>
          </w:p>
        </w:tc>
        <w:tc>
          <w:tcPr>
            <w:tcW w:w="858" w:type="dxa"/>
            <w:tcBorders>
              <w:top w:val="nil"/>
            </w:tcBorders>
            <w:shd w:val="clear" w:color="auto" w:fill="auto"/>
          </w:tcPr>
          <w:p w14:paraId="72F5CF09" w14:textId="77777777" w:rsidR="00140AE4" w:rsidRPr="006D7FF8" w:rsidRDefault="00140AE4" w:rsidP="00527DD2">
            <w:pPr>
              <w:spacing w:before="0"/>
              <w:rPr>
                <w:szCs w:val="24"/>
                <w:lang w:val="en-GB"/>
              </w:rPr>
            </w:pPr>
          </w:p>
        </w:tc>
        <w:tc>
          <w:tcPr>
            <w:tcW w:w="3733" w:type="dxa"/>
            <w:vMerge/>
            <w:tcBorders>
              <w:top w:val="nil"/>
              <w:bottom w:val="nil"/>
              <w:right w:val="nil"/>
            </w:tcBorders>
            <w:shd w:val="clear" w:color="auto" w:fill="auto"/>
          </w:tcPr>
          <w:p w14:paraId="5B148BF2" w14:textId="77777777" w:rsidR="00140AE4" w:rsidRPr="006D7FF8" w:rsidRDefault="00140AE4" w:rsidP="00527DD2">
            <w:pPr>
              <w:spacing w:before="0"/>
              <w:rPr>
                <w:szCs w:val="24"/>
                <w:lang w:val="en-GB"/>
              </w:rPr>
            </w:pPr>
          </w:p>
        </w:tc>
      </w:tr>
    </w:tbl>
    <w:p w14:paraId="2C0647A5" w14:textId="77777777" w:rsidR="00140AE4" w:rsidRDefault="00140AE4" w:rsidP="00140AE4">
      <w:pPr>
        <w:rPr>
          <w:szCs w:val="24"/>
          <w:lang w:val="en-GB"/>
        </w:rPr>
      </w:pPr>
      <w:r>
        <w:rPr>
          <w:szCs w:val="24"/>
          <w:lang w:val="en-GB"/>
        </w:rPr>
        <w:t>Comments:</w:t>
      </w:r>
    </w:p>
    <w:p w14:paraId="07F7508C" w14:textId="77777777" w:rsidR="00140AE4" w:rsidRDefault="00140AE4" w:rsidP="00140AE4">
      <w:pPr>
        <w:rPr>
          <w:szCs w:val="24"/>
          <w:lang w:val="en-GB"/>
        </w:rPr>
      </w:pPr>
    </w:p>
    <w:p w14:paraId="35D9C8E7" w14:textId="77777777" w:rsidR="00140AE4" w:rsidRDefault="00140AE4" w:rsidP="00140AE4">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140AE4" w:rsidRPr="00E3221E" w14:paraId="4C42CEFB" w14:textId="77777777" w:rsidTr="00527DD2">
        <w:trPr>
          <w:gridAfter w:val="2"/>
          <w:wAfter w:w="7084" w:type="dxa"/>
        </w:trPr>
        <w:tc>
          <w:tcPr>
            <w:tcW w:w="1853" w:type="dxa"/>
            <w:gridSpan w:val="2"/>
            <w:tcBorders>
              <w:top w:val="single" w:sz="4" w:space="0" w:color="auto"/>
              <w:right w:val="single" w:sz="4" w:space="0" w:color="auto"/>
            </w:tcBorders>
          </w:tcPr>
          <w:p w14:paraId="7EFD08AD" w14:textId="77777777" w:rsidR="00140AE4" w:rsidRPr="00E3221E" w:rsidRDefault="00140AE4" w:rsidP="00527DD2">
            <w:pPr>
              <w:rPr>
                <w:b/>
                <w:szCs w:val="24"/>
                <w:lang w:val="en-GB"/>
              </w:rPr>
            </w:pPr>
            <w:r w:rsidRPr="00E3221E">
              <w:rPr>
                <w:b/>
                <w:szCs w:val="24"/>
                <w:lang w:val="en-GB"/>
              </w:rPr>
              <w:t>Timing</w:t>
            </w:r>
          </w:p>
        </w:tc>
      </w:tr>
      <w:tr w:rsidR="00140AE4" w:rsidRPr="00AD7CD5" w14:paraId="1470F4D5" w14:textId="77777777" w:rsidTr="00527DD2">
        <w:trPr>
          <w:gridBefore w:val="1"/>
          <w:wBefore w:w="1154" w:type="dxa"/>
          <w:trHeight w:val="501"/>
        </w:trPr>
        <w:tc>
          <w:tcPr>
            <w:tcW w:w="6486" w:type="dxa"/>
            <w:gridSpan w:val="2"/>
          </w:tcPr>
          <w:p w14:paraId="3A0B5005" w14:textId="77777777" w:rsidR="00140AE4" w:rsidRPr="006D1DB8" w:rsidRDefault="00140AE4" w:rsidP="00527DD2">
            <w:pPr>
              <w:spacing w:before="0"/>
              <w:rPr>
                <w:b/>
                <w:szCs w:val="24"/>
                <w:lang w:val="en-GB"/>
              </w:rPr>
            </w:pPr>
            <w:r w:rsidRPr="006D1DB8">
              <w:rPr>
                <w:b/>
                <w:szCs w:val="24"/>
                <w:lang w:val="en-GB"/>
              </w:rPr>
              <w:t>- Fast track maintenance</w:t>
            </w:r>
          </w:p>
          <w:p w14:paraId="5F09ABAD" w14:textId="77777777" w:rsidR="00140AE4" w:rsidRPr="006D7FF8" w:rsidRDefault="00140AE4" w:rsidP="00527DD2">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using the fast track maintenance process) </w:t>
            </w:r>
          </w:p>
        </w:tc>
        <w:tc>
          <w:tcPr>
            <w:tcW w:w="1297" w:type="dxa"/>
            <w:tcBorders>
              <w:bottom w:val="single" w:sz="4" w:space="0" w:color="auto"/>
            </w:tcBorders>
          </w:tcPr>
          <w:p w14:paraId="110C0037" w14:textId="77777777" w:rsidR="00140AE4" w:rsidRPr="00AD7CD5" w:rsidRDefault="00140AE4" w:rsidP="00527DD2">
            <w:pPr>
              <w:spacing w:before="0"/>
              <w:jc w:val="both"/>
              <w:rPr>
                <w:color w:val="FF0000"/>
                <w:szCs w:val="24"/>
                <w:lang w:val="en-GB"/>
              </w:rPr>
            </w:pPr>
          </w:p>
        </w:tc>
      </w:tr>
      <w:tr w:rsidR="00140AE4" w:rsidRPr="00AD7CD5" w14:paraId="4D155DD2" w14:textId="77777777" w:rsidTr="00527DD2">
        <w:trPr>
          <w:gridBefore w:val="1"/>
          <w:wBefore w:w="1154" w:type="dxa"/>
          <w:trHeight w:val="501"/>
        </w:trPr>
        <w:tc>
          <w:tcPr>
            <w:tcW w:w="6486" w:type="dxa"/>
            <w:gridSpan w:val="2"/>
          </w:tcPr>
          <w:p w14:paraId="4C6D415B" w14:textId="77777777" w:rsidR="00140AE4" w:rsidRDefault="00140AE4" w:rsidP="00527DD2">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6711FD2" w14:textId="77777777" w:rsidR="00140AE4" w:rsidRDefault="00140AE4" w:rsidP="00527DD2">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an urgent implementation – will be pending until the next [yearly] maintenance of the messages)</w:t>
            </w:r>
          </w:p>
        </w:tc>
        <w:tc>
          <w:tcPr>
            <w:tcW w:w="1297" w:type="dxa"/>
          </w:tcPr>
          <w:p w14:paraId="0CDE7403" w14:textId="77777777" w:rsidR="00140AE4" w:rsidRPr="00AD7CD5" w:rsidRDefault="00140AE4" w:rsidP="00527DD2">
            <w:pPr>
              <w:spacing w:before="0"/>
              <w:jc w:val="center"/>
              <w:rPr>
                <w:color w:val="FF0000"/>
                <w:szCs w:val="24"/>
                <w:lang w:val="en-GB"/>
              </w:rPr>
            </w:pPr>
          </w:p>
        </w:tc>
      </w:tr>
    </w:tbl>
    <w:p w14:paraId="010F4433" w14:textId="77777777" w:rsidR="006D1DB8" w:rsidRDefault="006D1DB8" w:rsidP="00A14F3B">
      <w:pPr>
        <w:rPr>
          <w:szCs w:val="24"/>
          <w:lang w:val="en-GB"/>
        </w:rPr>
      </w:pPr>
    </w:p>
    <w:sectPr w:rsidR="006D1DB8" w:rsidSect="008E33D3">
      <w:type w:val="continuous"/>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9BB1" w14:textId="77777777" w:rsidR="006873FE" w:rsidRDefault="006873FE">
      <w:r>
        <w:separator/>
      </w:r>
    </w:p>
  </w:endnote>
  <w:endnote w:type="continuationSeparator" w:id="0">
    <w:p w14:paraId="2FB32820" w14:textId="77777777" w:rsidR="006873FE" w:rsidRDefault="0068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6246" w14:textId="77777777" w:rsidR="0039353B" w:rsidRDefault="00393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780A" w14:textId="198989D2" w:rsidR="008C4E70" w:rsidRDefault="0039353B">
    <w:pPr>
      <w:pStyle w:val="Footer"/>
      <w:rPr>
        <w:rStyle w:val="PageNumber"/>
      </w:rPr>
    </w:pPr>
    <w:fldSimple w:instr=" FILENAME   \* MERGEFORMAT ">
      <w:r>
        <w:rPr>
          <w:noProof/>
        </w:rPr>
        <w:t>241_MCR_FastTtrack_financialinstrumentreporting_auth.033_v1.docx</w:t>
      </w:r>
    </w:fldSimple>
    <w:r w:rsidR="008C4E70">
      <w:tab/>
      <w:t xml:space="preserve">Produced by </w:t>
    </w:r>
    <w:r w:rsidR="00653849">
      <w:t>ESMA</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E81F43">
      <w:rPr>
        <w:rStyle w:val="PageNumber"/>
        <w:noProof/>
      </w:rPr>
      <w:t>1</w:t>
    </w:r>
    <w:r w:rsidR="008C4E70">
      <w:rPr>
        <w:rStyle w:val="PageNumber"/>
      </w:rPr>
      <w:fldChar w:fldCharType="end"/>
    </w:r>
  </w:p>
  <w:p w14:paraId="630D0327" w14:textId="77777777" w:rsidR="008C4E70" w:rsidRDefault="008C4E70">
    <w:pPr>
      <w:pStyle w:val="Footer"/>
      <w:rPr>
        <w:rStyle w:val="PageNumber"/>
      </w:rPr>
    </w:pPr>
  </w:p>
  <w:p w14:paraId="053EE21D" w14:textId="77777777" w:rsidR="008C4E70" w:rsidRDefault="008C4E70"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DEB4" w14:textId="77777777" w:rsidR="0039353B" w:rsidRDefault="00393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7CAF" w14:textId="77777777" w:rsidR="006873FE" w:rsidRDefault="006873FE">
      <w:r>
        <w:separator/>
      </w:r>
    </w:p>
  </w:footnote>
  <w:footnote w:type="continuationSeparator" w:id="0">
    <w:p w14:paraId="0D26FF76" w14:textId="77777777" w:rsidR="006873FE" w:rsidRDefault="006873FE">
      <w:r>
        <w:continuationSeparator/>
      </w:r>
    </w:p>
  </w:footnote>
  <w:footnote w:id="1">
    <w:p w14:paraId="216E1887" w14:textId="77777777" w:rsidR="00645A47" w:rsidRDefault="00645A47" w:rsidP="00645A47">
      <w:pPr>
        <w:pStyle w:val="FootnoteText"/>
        <w:jc w:val="both"/>
      </w:pPr>
      <w:r>
        <w:rPr>
          <w:rStyle w:val="FootnoteReference"/>
        </w:rPr>
        <w:footnoteRef/>
      </w:r>
      <w:r>
        <w:t xml:space="preserve"> Commission Delegated Regulation (EU) 2017/583 of 14 July 2016 supplementing Regulation (EU) No 600/2014 of the European Parliament and of the Council on markets in financial instruments </w:t>
      </w:r>
      <w:proofErr w:type="gramStart"/>
      <w:r>
        <w:t>with regard to</w:t>
      </w:r>
      <w:proofErr w:type="gramEnd"/>
      <w:r>
        <w:t xml:space="preserve"> regulatory technical standards on transparency requirements for trading venues and investment firms in respect of bonds, structured finance products, emission allowances and derivatives. </w:t>
      </w:r>
    </w:p>
    <w:p w14:paraId="584DFB5B" w14:textId="17AFA8B2" w:rsidR="00645A47" w:rsidRPr="00645A47" w:rsidRDefault="00645A4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E1F6" w14:textId="77777777" w:rsidR="0039353B" w:rsidRDefault="00393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AE9" w14:textId="78C766B1" w:rsidR="00BF2E3E" w:rsidRPr="00DA168B" w:rsidRDefault="00DA168B">
    <w:pPr>
      <w:pStyle w:val="Header"/>
      <w:rPr>
        <w:b/>
        <w:lang w:val="en-GB"/>
      </w:rPr>
    </w:pPr>
    <w:r w:rsidRPr="00DA168B">
      <w:rPr>
        <w:b/>
        <w:lang w:val="en-GB"/>
      </w:rPr>
      <w:t>FAST TRACK</w:t>
    </w:r>
    <w:r w:rsidR="0039353B">
      <w:rPr>
        <w:b/>
        <w:lang w:val="en-GB"/>
      </w:rPr>
      <w:t xml:space="preserve"> #241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2FF0" w14:textId="77777777" w:rsidR="0039353B" w:rsidRDefault="00393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4B4882"/>
    <w:multiLevelType w:val="hybridMultilevel"/>
    <w:tmpl w:val="335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085003B"/>
    <w:multiLevelType w:val="hybridMultilevel"/>
    <w:tmpl w:val="137E2FC0"/>
    <w:lvl w:ilvl="0" w:tplc="646E5B32">
      <w:start w:val="103"/>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5267FA8"/>
    <w:multiLevelType w:val="hybridMultilevel"/>
    <w:tmpl w:val="2E02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595"/>
    <w:multiLevelType w:val="hybridMultilevel"/>
    <w:tmpl w:val="CA78DEE4"/>
    <w:lvl w:ilvl="0" w:tplc="19BA3BA0">
      <w:start w:val="5"/>
      <w:numFmt w:val="bullet"/>
      <w:lvlText w:val=""/>
      <w:lvlJc w:val="left"/>
      <w:pPr>
        <w:ind w:left="720" w:hanging="360"/>
      </w:pPr>
      <w:rPr>
        <w:rFonts w:ascii="Symbol" w:eastAsia="Time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863D1"/>
    <w:multiLevelType w:val="hybridMultilevel"/>
    <w:tmpl w:val="669245FA"/>
    <w:lvl w:ilvl="0" w:tplc="80DC1148">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26A4F02"/>
    <w:multiLevelType w:val="hybridMultilevel"/>
    <w:tmpl w:val="8FEE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F3F3F"/>
    <w:multiLevelType w:val="hybridMultilevel"/>
    <w:tmpl w:val="09C8A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4720B3"/>
    <w:multiLevelType w:val="hybridMultilevel"/>
    <w:tmpl w:val="7BAC0D0A"/>
    <w:lvl w:ilvl="0" w:tplc="16749FD0">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E7183D"/>
    <w:multiLevelType w:val="hybridMultilevel"/>
    <w:tmpl w:val="0ED4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0720F1"/>
    <w:multiLevelType w:val="hybridMultilevel"/>
    <w:tmpl w:val="3B04598A"/>
    <w:lvl w:ilvl="0" w:tplc="BD0AC092">
      <w:start w:val="5"/>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11239C8"/>
    <w:multiLevelType w:val="hybridMultilevel"/>
    <w:tmpl w:val="F26CA2A2"/>
    <w:lvl w:ilvl="0" w:tplc="089805E8">
      <w:start w:val="2"/>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7043"/>
    <w:multiLevelType w:val="hybridMultilevel"/>
    <w:tmpl w:val="F742402A"/>
    <w:lvl w:ilvl="0" w:tplc="45E612C4">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C47518"/>
    <w:multiLevelType w:val="hybridMultilevel"/>
    <w:tmpl w:val="42DEB84C"/>
    <w:lvl w:ilvl="0" w:tplc="08090001">
      <w:start w:val="1"/>
      <w:numFmt w:val="bullet"/>
      <w:lvlText w:val=""/>
      <w:lvlJc w:val="left"/>
      <w:pPr>
        <w:tabs>
          <w:tab w:val="num" w:pos="1080"/>
        </w:tabs>
        <w:ind w:left="1080" w:hanging="360"/>
      </w:pPr>
      <w:rPr>
        <w:rFonts w:ascii="Symbol" w:hAnsi="Symbo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201248"/>
    <w:multiLevelType w:val="hybridMultilevel"/>
    <w:tmpl w:val="1B501540"/>
    <w:lvl w:ilvl="0" w:tplc="8DC65BAA">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65AAE"/>
    <w:multiLevelType w:val="hybridMultilevel"/>
    <w:tmpl w:val="231A28B8"/>
    <w:lvl w:ilvl="0" w:tplc="089805E8">
      <w:start w:val="2"/>
      <w:numFmt w:val="bullet"/>
      <w:lvlText w:val="-"/>
      <w:lvlJc w:val="left"/>
      <w:pPr>
        <w:tabs>
          <w:tab w:val="num" w:pos="1080"/>
        </w:tabs>
        <w:ind w:left="1080" w:hanging="360"/>
      </w:pPr>
      <w:rPr>
        <w:rFonts w:ascii="Georgia" w:eastAsia="Times New Roman" w:hAnsi="Georgia" w:cs="Aria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04233696">
    <w:abstractNumId w:val="2"/>
  </w:num>
  <w:num w:numId="2" w16cid:durableId="1865248412">
    <w:abstractNumId w:val="0"/>
  </w:num>
  <w:num w:numId="3" w16cid:durableId="1577861569">
    <w:abstractNumId w:val="1"/>
  </w:num>
  <w:num w:numId="4" w16cid:durableId="2084372925">
    <w:abstractNumId w:val="3"/>
  </w:num>
  <w:num w:numId="5" w16cid:durableId="2069961306">
    <w:abstractNumId w:val="29"/>
  </w:num>
  <w:num w:numId="6" w16cid:durableId="722094890">
    <w:abstractNumId w:val="11"/>
  </w:num>
  <w:num w:numId="7" w16cid:durableId="1942181257">
    <w:abstractNumId w:val="16"/>
  </w:num>
  <w:num w:numId="8" w16cid:durableId="654727102">
    <w:abstractNumId w:val="12"/>
  </w:num>
  <w:num w:numId="9" w16cid:durableId="25642751">
    <w:abstractNumId w:val="28"/>
  </w:num>
  <w:num w:numId="10" w16cid:durableId="1967664121">
    <w:abstractNumId w:val="6"/>
  </w:num>
  <w:num w:numId="11" w16cid:durableId="248776198">
    <w:abstractNumId w:val="8"/>
  </w:num>
  <w:num w:numId="12" w16cid:durableId="72439155">
    <w:abstractNumId w:val="19"/>
  </w:num>
  <w:num w:numId="13" w16cid:durableId="947272132">
    <w:abstractNumId w:val="22"/>
  </w:num>
  <w:num w:numId="14" w16cid:durableId="1245646181">
    <w:abstractNumId w:val="30"/>
  </w:num>
  <w:num w:numId="15" w16cid:durableId="376861329">
    <w:abstractNumId w:val="5"/>
  </w:num>
  <w:num w:numId="16" w16cid:durableId="312955694">
    <w:abstractNumId w:val="14"/>
  </w:num>
  <w:num w:numId="17" w16cid:durableId="139151722">
    <w:abstractNumId w:val="15"/>
  </w:num>
  <w:num w:numId="18" w16cid:durableId="201022368">
    <w:abstractNumId w:val="24"/>
  </w:num>
  <w:num w:numId="19" w16cid:durableId="1433816179">
    <w:abstractNumId w:val="7"/>
  </w:num>
  <w:num w:numId="20" w16cid:durableId="1333218439">
    <w:abstractNumId w:val="10"/>
  </w:num>
  <w:num w:numId="21" w16cid:durableId="2014215190">
    <w:abstractNumId w:val="23"/>
  </w:num>
  <w:num w:numId="22" w16cid:durableId="792213918">
    <w:abstractNumId w:val="31"/>
  </w:num>
  <w:num w:numId="23" w16cid:durableId="1822963877">
    <w:abstractNumId w:val="13"/>
  </w:num>
  <w:num w:numId="24" w16cid:durableId="1568225549">
    <w:abstractNumId w:val="18"/>
  </w:num>
  <w:num w:numId="25" w16cid:durableId="353507432">
    <w:abstractNumId w:val="9"/>
  </w:num>
  <w:num w:numId="26" w16cid:durableId="1718627489">
    <w:abstractNumId w:val="21"/>
  </w:num>
  <w:num w:numId="27" w16cid:durableId="158271873">
    <w:abstractNumId w:val="4"/>
  </w:num>
  <w:num w:numId="28" w16cid:durableId="1433817231">
    <w:abstractNumId w:val="17"/>
  </w:num>
  <w:num w:numId="29" w16cid:durableId="1716537526">
    <w:abstractNumId w:val="27"/>
  </w:num>
  <w:num w:numId="30" w16cid:durableId="224681453">
    <w:abstractNumId w:val="32"/>
  </w:num>
  <w:num w:numId="31" w16cid:durableId="493030012">
    <w:abstractNumId w:val="26"/>
  </w:num>
  <w:num w:numId="32" w16cid:durableId="1090391009">
    <w:abstractNumId w:val="25"/>
  </w:num>
  <w:num w:numId="33" w16cid:durableId="8578160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933"/>
    <w:rsid w:val="000026F5"/>
    <w:rsid w:val="00002D23"/>
    <w:rsid w:val="00011196"/>
    <w:rsid w:val="000127ED"/>
    <w:rsid w:val="00021C86"/>
    <w:rsid w:val="000305DB"/>
    <w:rsid w:val="000321EB"/>
    <w:rsid w:val="0003395A"/>
    <w:rsid w:val="00041661"/>
    <w:rsid w:val="0005123F"/>
    <w:rsid w:val="00053790"/>
    <w:rsid w:val="000558EF"/>
    <w:rsid w:val="000570F0"/>
    <w:rsid w:val="00066336"/>
    <w:rsid w:val="00070308"/>
    <w:rsid w:val="00073443"/>
    <w:rsid w:val="000747BA"/>
    <w:rsid w:val="00074EC7"/>
    <w:rsid w:val="00075CC7"/>
    <w:rsid w:val="00077BE2"/>
    <w:rsid w:val="00080D3A"/>
    <w:rsid w:val="000823AA"/>
    <w:rsid w:val="00082743"/>
    <w:rsid w:val="000837C7"/>
    <w:rsid w:val="00083C96"/>
    <w:rsid w:val="0009194F"/>
    <w:rsid w:val="00091F7E"/>
    <w:rsid w:val="000A20E4"/>
    <w:rsid w:val="000B1C28"/>
    <w:rsid w:val="000B65C7"/>
    <w:rsid w:val="000C015D"/>
    <w:rsid w:val="000C2811"/>
    <w:rsid w:val="000D0831"/>
    <w:rsid w:val="000D1509"/>
    <w:rsid w:val="000D68A5"/>
    <w:rsid w:val="000D7586"/>
    <w:rsid w:val="000E2471"/>
    <w:rsid w:val="000E2B3B"/>
    <w:rsid w:val="000F088F"/>
    <w:rsid w:val="000F3A8E"/>
    <w:rsid w:val="000F3C8B"/>
    <w:rsid w:val="000F43E3"/>
    <w:rsid w:val="00100D82"/>
    <w:rsid w:val="00101212"/>
    <w:rsid w:val="001062D2"/>
    <w:rsid w:val="00107D6F"/>
    <w:rsid w:val="0011070B"/>
    <w:rsid w:val="00114D96"/>
    <w:rsid w:val="00125375"/>
    <w:rsid w:val="00132E25"/>
    <w:rsid w:val="00140AE4"/>
    <w:rsid w:val="0014374D"/>
    <w:rsid w:val="0014379C"/>
    <w:rsid w:val="001506B5"/>
    <w:rsid w:val="00153ED1"/>
    <w:rsid w:val="00157019"/>
    <w:rsid w:val="001578F7"/>
    <w:rsid w:val="001711D3"/>
    <w:rsid w:val="001725A6"/>
    <w:rsid w:val="00174A87"/>
    <w:rsid w:val="00176327"/>
    <w:rsid w:val="00176660"/>
    <w:rsid w:val="00183F73"/>
    <w:rsid w:val="00185453"/>
    <w:rsid w:val="001865D0"/>
    <w:rsid w:val="001905C6"/>
    <w:rsid w:val="001A4968"/>
    <w:rsid w:val="001A634E"/>
    <w:rsid w:val="001C4B6D"/>
    <w:rsid w:val="001D0306"/>
    <w:rsid w:val="001D0D1B"/>
    <w:rsid w:val="001D176B"/>
    <w:rsid w:val="001D20B3"/>
    <w:rsid w:val="001E27B2"/>
    <w:rsid w:val="001E287E"/>
    <w:rsid w:val="001E2B1C"/>
    <w:rsid w:val="001E3BCF"/>
    <w:rsid w:val="001E63AA"/>
    <w:rsid w:val="001F1EC0"/>
    <w:rsid w:val="001F2286"/>
    <w:rsid w:val="001F2938"/>
    <w:rsid w:val="001F2EFE"/>
    <w:rsid w:val="00206563"/>
    <w:rsid w:val="00217122"/>
    <w:rsid w:val="00220C6D"/>
    <w:rsid w:val="00222E32"/>
    <w:rsid w:val="00225243"/>
    <w:rsid w:val="00225AA9"/>
    <w:rsid w:val="00227E4E"/>
    <w:rsid w:val="00230574"/>
    <w:rsid w:val="00241806"/>
    <w:rsid w:val="002467A9"/>
    <w:rsid w:val="002472D9"/>
    <w:rsid w:val="002509A2"/>
    <w:rsid w:val="0025544A"/>
    <w:rsid w:val="00265901"/>
    <w:rsid w:val="002711E6"/>
    <w:rsid w:val="00271803"/>
    <w:rsid w:val="00272F4F"/>
    <w:rsid w:val="002904C8"/>
    <w:rsid w:val="00293D58"/>
    <w:rsid w:val="00294EC0"/>
    <w:rsid w:val="002979BB"/>
    <w:rsid w:val="002A2D9B"/>
    <w:rsid w:val="002A4BF7"/>
    <w:rsid w:val="002A545A"/>
    <w:rsid w:val="002B4BBF"/>
    <w:rsid w:val="002C317D"/>
    <w:rsid w:val="002C5DFF"/>
    <w:rsid w:val="002D036C"/>
    <w:rsid w:val="002D186A"/>
    <w:rsid w:val="002D3067"/>
    <w:rsid w:val="002D549A"/>
    <w:rsid w:val="002E4AD2"/>
    <w:rsid w:val="002E4CCE"/>
    <w:rsid w:val="002F2122"/>
    <w:rsid w:val="002F5F45"/>
    <w:rsid w:val="002F699A"/>
    <w:rsid w:val="002F7256"/>
    <w:rsid w:val="002F740D"/>
    <w:rsid w:val="003006F2"/>
    <w:rsid w:val="0030261D"/>
    <w:rsid w:val="00303E94"/>
    <w:rsid w:val="00304151"/>
    <w:rsid w:val="0031360F"/>
    <w:rsid w:val="00314C0B"/>
    <w:rsid w:val="00316F04"/>
    <w:rsid w:val="00320A89"/>
    <w:rsid w:val="00324C6F"/>
    <w:rsid w:val="00336209"/>
    <w:rsid w:val="00336ED6"/>
    <w:rsid w:val="00337B8F"/>
    <w:rsid w:val="0035042B"/>
    <w:rsid w:val="00360300"/>
    <w:rsid w:val="00361128"/>
    <w:rsid w:val="003729DD"/>
    <w:rsid w:val="00380928"/>
    <w:rsid w:val="00381CEC"/>
    <w:rsid w:val="0038228D"/>
    <w:rsid w:val="00386063"/>
    <w:rsid w:val="00386B78"/>
    <w:rsid w:val="003871D4"/>
    <w:rsid w:val="0039123D"/>
    <w:rsid w:val="0039353B"/>
    <w:rsid w:val="0039712F"/>
    <w:rsid w:val="00397394"/>
    <w:rsid w:val="003A3CBC"/>
    <w:rsid w:val="003A3D7D"/>
    <w:rsid w:val="003A4426"/>
    <w:rsid w:val="003A45BD"/>
    <w:rsid w:val="003B1C3C"/>
    <w:rsid w:val="003C0213"/>
    <w:rsid w:val="003C0267"/>
    <w:rsid w:val="003C0450"/>
    <w:rsid w:val="003C37DF"/>
    <w:rsid w:val="003C3840"/>
    <w:rsid w:val="003C50CA"/>
    <w:rsid w:val="003C5CA1"/>
    <w:rsid w:val="003D2EF8"/>
    <w:rsid w:val="003D56E3"/>
    <w:rsid w:val="003D5B54"/>
    <w:rsid w:val="003D5D34"/>
    <w:rsid w:val="003D7D35"/>
    <w:rsid w:val="003E1896"/>
    <w:rsid w:val="003E4973"/>
    <w:rsid w:val="003E59BF"/>
    <w:rsid w:val="003E67E5"/>
    <w:rsid w:val="003F2AB8"/>
    <w:rsid w:val="003F3F04"/>
    <w:rsid w:val="003F547E"/>
    <w:rsid w:val="003F565C"/>
    <w:rsid w:val="003F57CE"/>
    <w:rsid w:val="003F6B05"/>
    <w:rsid w:val="00401998"/>
    <w:rsid w:val="0040399F"/>
    <w:rsid w:val="00410D86"/>
    <w:rsid w:val="00416272"/>
    <w:rsid w:val="004202D2"/>
    <w:rsid w:val="004259CF"/>
    <w:rsid w:val="00425C3F"/>
    <w:rsid w:val="00426623"/>
    <w:rsid w:val="00427966"/>
    <w:rsid w:val="004315E4"/>
    <w:rsid w:val="00446B25"/>
    <w:rsid w:val="004475F9"/>
    <w:rsid w:val="00447DD9"/>
    <w:rsid w:val="00451986"/>
    <w:rsid w:val="004527CA"/>
    <w:rsid w:val="0046112C"/>
    <w:rsid w:val="00461C8E"/>
    <w:rsid w:val="00462051"/>
    <w:rsid w:val="00462D77"/>
    <w:rsid w:val="00465900"/>
    <w:rsid w:val="004734DA"/>
    <w:rsid w:val="00473961"/>
    <w:rsid w:val="00475EAA"/>
    <w:rsid w:val="004768D3"/>
    <w:rsid w:val="004866E1"/>
    <w:rsid w:val="004A2F6F"/>
    <w:rsid w:val="004A4602"/>
    <w:rsid w:val="004A65DE"/>
    <w:rsid w:val="004B412B"/>
    <w:rsid w:val="004B5A22"/>
    <w:rsid w:val="004B62D3"/>
    <w:rsid w:val="004D461B"/>
    <w:rsid w:val="004E10D2"/>
    <w:rsid w:val="004E1F21"/>
    <w:rsid w:val="004F0578"/>
    <w:rsid w:val="004F2070"/>
    <w:rsid w:val="004F61D5"/>
    <w:rsid w:val="004F7365"/>
    <w:rsid w:val="0050171A"/>
    <w:rsid w:val="00502F6A"/>
    <w:rsid w:val="005170AF"/>
    <w:rsid w:val="00517540"/>
    <w:rsid w:val="005246BE"/>
    <w:rsid w:val="00527DD2"/>
    <w:rsid w:val="0053094C"/>
    <w:rsid w:val="005443D9"/>
    <w:rsid w:val="00552D1E"/>
    <w:rsid w:val="00556C8B"/>
    <w:rsid w:val="00556F20"/>
    <w:rsid w:val="005615FC"/>
    <w:rsid w:val="0056377A"/>
    <w:rsid w:val="00563FFF"/>
    <w:rsid w:val="005677B8"/>
    <w:rsid w:val="00567B06"/>
    <w:rsid w:val="00577821"/>
    <w:rsid w:val="00577BCC"/>
    <w:rsid w:val="005807B4"/>
    <w:rsid w:val="005810CA"/>
    <w:rsid w:val="00582939"/>
    <w:rsid w:val="00586E08"/>
    <w:rsid w:val="0059290C"/>
    <w:rsid w:val="00593684"/>
    <w:rsid w:val="00595B50"/>
    <w:rsid w:val="005960E2"/>
    <w:rsid w:val="005962C3"/>
    <w:rsid w:val="00596453"/>
    <w:rsid w:val="005A4F4C"/>
    <w:rsid w:val="005A6A3A"/>
    <w:rsid w:val="005A7F37"/>
    <w:rsid w:val="005B1C47"/>
    <w:rsid w:val="005B602E"/>
    <w:rsid w:val="005C3821"/>
    <w:rsid w:val="005C4730"/>
    <w:rsid w:val="005C4C5F"/>
    <w:rsid w:val="005C4E5F"/>
    <w:rsid w:val="005D06FE"/>
    <w:rsid w:val="005D78B2"/>
    <w:rsid w:val="005D7DC3"/>
    <w:rsid w:val="005E1210"/>
    <w:rsid w:val="005E2379"/>
    <w:rsid w:val="005E3784"/>
    <w:rsid w:val="005E46E4"/>
    <w:rsid w:val="005E5AE3"/>
    <w:rsid w:val="005F05DB"/>
    <w:rsid w:val="005F6F9B"/>
    <w:rsid w:val="006043A9"/>
    <w:rsid w:val="00607D1E"/>
    <w:rsid w:val="00610B1B"/>
    <w:rsid w:val="00610F9A"/>
    <w:rsid w:val="00611120"/>
    <w:rsid w:val="00614DFE"/>
    <w:rsid w:val="00623709"/>
    <w:rsid w:val="00624B43"/>
    <w:rsid w:val="00627A4E"/>
    <w:rsid w:val="00627B16"/>
    <w:rsid w:val="00631A43"/>
    <w:rsid w:val="006344BD"/>
    <w:rsid w:val="00645A47"/>
    <w:rsid w:val="006460B5"/>
    <w:rsid w:val="006462D7"/>
    <w:rsid w:val="00651F86"/>
    <w:rsid w:val="00653849"/>
    <w:rsid w:val="0066240B"/>
    <w:rsid w:val="006631EA"/>
    <w:rsid w:val="006643DC"/>
    <w:rsid w:val="00665EEF"/>
    <w:rsid w:val="00666C4A"/>
    <w:rsid w:val="00666CC4"/>
    <w:rsid w:val="00666DC2"/>
    <w:rsid w:val="0067191C"/>
    <w:rsid w:val="00676226"/>
    <w:rsid w:val="00685354"/>
    <w:rsid w:val="006873FE"/>
    <w:rsid w:val="00687DEA"/>
    <w:rsid w:val="006920DC"/>
    <w:rsid w:val="006A2169"/>
    <w:rsid w:val="006A2E4A"/>
    <w:rsid w:val="006A58C5"/>
    <w:rsid w:val="006A7B96"/>
    <w:rsid w:val="006B20DC"/>
    <w:rsid w:val="006C192F"/>
    <w:rsid w:val="006C1C0E"/>
    <w:rsid w:val="006C5A9D"/>
    <w:rsid w:val="006D1687"/>
    <w:rsid w:val="006D1DB8"/>
    <w:rsid w:val="006D4E41"/>
    <w:rsid w:val="006D7FF8"/>
    <w:rsid w:val="006E3762"/>
    <w:rsid w:val="006F7C67"/>
    <w:rsid w:val="00700FE3"/>
    <w:rsid w:val="0070242D"/>
    <w:rsid w:val="00703B77"/>
    <w:rsid w:val="00714871"/>
    <w:rsid w:val="00723DE0"/>
    <w:rsid w:val="00732595"/>
    <w:rsid w:val="007351CB"/>
    <w:rsid w:val="00735306"/>
    <w:rsid w:val="007424AA"/>
    <w:rsid w:val="00743342"/>
    <w:rsid w:val="0074349F"/>
    <w:rsid w:val="0075466C"/>
    <w:rsid w:val="00763A98"/>
    <w:rsid w:val="00764FD5"/>
    <w:rsid w:val="00766D7B"/>
    <w:rsid w:val="0077080B"/>
    <w:rsid w:val="00774921"/>
    <w:rsid w:val="007828B0"/>
    <w:rsid w:val="007834EB"/>
    <w:rsid w:val="00783891"/>
    <w:rsid w:val="00783D0B"/>
    <w:rsid w:val="0079275B"/>
    <w:rsid w:val="00793936"/>
    <w:rsid w:val="007943EF"/>
    <w:rsid w:val="007A181F"/>
    <w:rsid w:val="007B3CEB"/>
    <w:rsid w:val="007C3052"/>
    <w:rsid w:val="007C69D2"/>
    <w:rsid w:val="007C7CD2"/>
    <w:rsid w:val="007D69B5"/>
    <w:rsid w:val="007D6A9F"/>
    <w:rsid w:val="007E271B"/>
    <w:rsid w:val="007E5612"/>
    <w:rsid w:val="007E5B27"/>
    <w:rsid w:val="007E64D9"/>
    <w:rsid w:val="007E7C41"/>
    <w:rsid w:val="007F32B5"/>
    <w:rsid w:val="007F4EB7"/>
    <w:rsid w:val="007F6A8C"/>
    <w:rsid w:val="007F7D05"/>
    <w:rsid w:val="00804C22"/>
    <w:rsid w:val="00811665"/>
    <w:rsid w:val="00812324"/>
    <w:rsid w:val="0081232C"/>
    <w:rsid w:val="008253B9"/>
    <w:rsid w:val="008270CD"/>
    <w:rsid w:val="008270DF"/>
    <w:rsid w:val="00834116"/>
    <w:rsid w:val="0084244C"/>
    <w:rsid w:val="00843FE8"/>
    <w:rsid w:val="008541E2"/>
    <w:rsid w:val="00860BCE"/>
    <w:rsid w:val="00861DA2"/>
    <w:rsid w:val="008656A6"/>
    <w:rsid w:val="00865C2F"/>
    <w:rsid w:val="00866B30"/>
    <w:rsid w:val="00870FD9"/>
    <w:rsid w:val="00874E2C"/>
    <w:rsid w:val="00874F10"/>
    <w:rsid w:val="00875210"/>
    <w:rsid w:val="00884E83"/>
    <w:rsid w:val="008869D6"/>
    <w:rsid w:val="0089280D"/>
    <w:rsid w:val="00892B8A"/>
    <w:rsid w:val="008940FE"/>
    <w:rsid w:val="008A66D1"/>
    <w:rsid w:val="008A6845"/>
    <w:rsid w:val="008A7F65"/>
    <w:rsid w:val="008B3F34"/>
    <w:rsid w:val="008B59C7"/>
    <w:rsid w:val="008B6328"/>
    <w:rsid w:val="008C0C48"/>
    <w:rsid w:val="008C240B"/>
    <w:rsid w:val="008C4E70"/>
    <w:rsid w:val="008C511E"/>
    <w:rsid w:val="008D06CC"/>
    <w:rsid w:val="008D27F8"/>
    <w:rsid w:val="008D592B"/>
    <w:rsid w:val="008E33D3"/>
    <w:rsid w:val="009060D8"/>
    <w:rsid w:val="00906A73"/>
    <w:rsid w:val="00906C6A"/>
    <w:rsid w:val="00914273"/>
    <w:rsid w:val="00915714"/>
    <w:rsid w:val="00916015"/>
    <w:rsid w:val="00923B14"/>
    <w:rsid w:val="009279BF"/>
    <w:rsid w:val="00937D26"/>
    <w:rsid w:val="0094797E"/>
    <w:rsid w:val="00951556"/>
    <w:rsid w:val="00951C86"/>
    <w:rsid w:val="00956D7A"/>
    <w:rsid w:val="00961658"/>
    <w:rsid w:val="00966DAB"/>
    <w:rsid w:val="00976B9C"/>
    <w:rsid w:val="009940ED"/>
    <w:rsid w:val="009A6808"/>
    <w:rsid w:val="009B6951"/>
    <w:rsid w:val="009C1445"/>
    <w:rsid w:val="009C6332"/>
    <w:rsid w:val="009C6614"/>
    <w:rsid w:val="009C7921"/>
    <w:rsid w:val="009D1A6E"/>
    <w:rsid w:val="009D2C94"/>
    <w:rsid w:val="009F5D50"/>
    <w:rsid w:val="00A03DBF"/>
    <w:rsid w:val="00A0544D"/>
    <w:rsid w:val="00A12EC3"/>
    <w:rsid w:val="00A14F3B"/>
    <w:rsid w:val="00A1661E"/>
    <w:rsid w:val="00A16B29"/>
    <w:rsid w:val="00A17040"/>
    <w:rsid w:val="00A2182D"/>
    <w:rsid w:val="00A21A99"/>
    <w:rsid w:val="00A21B8D"/>
    <w:rsid w:val="00A22603"/>
    <w:rsid w:val="00A25B84"/>
    <w:rsid w:val="00A3179C"/>
    <w:rsid w:val="00A34DA2"/>
    <w:rsid w:val="00A3510E"/>
    <w:rsid w:val="00A40186"/>
    <w:rsid w:val="00A40FA6"/>
    <w:rsid w:val="00A4162B"/>
    <w:rsid w:val="00A46877"/>
    <w:rsid w:val="00A47C6F"/>
    <w:rsid w:val="00A5492F"/>
    <w:rsid w:val="00A60DC3"/>
    <w:rsid w:val="00A64644"/>
    <w:rsid w:val="00A65AFC"/>
    <w:rsid w:val="00A70357"/>
    <w:rsid w:val="00A77050"/>
    <w:rsid w:val="00A80C1F"/>
    <w:rsid w:val="00A81292"/>
    <w:rsid w:val="00A84CB6"/>
    <w:rsid w:val="00A91B3E"/>
    <w:rsid w:val="00A91F56"/>
    <w:rsid w:val="00AA72F1"/>
    <w:rsid w:val="00AA7FD4"/>
    <w:rsid w:val="00AB4532"/>
    <w:rsid w:val="00AC0F2F"/>
    <w:rsid w:val="00AC1507"/>
    <w:rsid w:val="00AC68DB"/>
    <w:rsid w:val="00AC6F9B"/>
    <w:rsid w:val="00AC704D"/>
    <w:rsid w:val="00AD4373"/>
    <w:rsid w:val="00AD5724"/>
    <w:rsid w:val="00AD590C"/>
    <w:rsid w:val="00AD7E44"/>
    <w:rsid w:val="00AE0A90"/>
    <w:rsid w:val="00AE22F7"/>
    <w:rsid w:val="00AE742B"/>
    <w:rsid w:val="00AE7466"/>
    <w:rsid w:val="00AE7DD0"/>
    <w:rsid w:val="00AF0139"/>
    <w:rsid w:val="00AF09E1"/>
    <w:rsid w:val="00AF2EBF"/>
    <w:rsid w:val="00B06CA8"/>
    <w:rsid w:val="00B21761"/>
    <w:rsid w:val="00B42514"/>
    <w:rsid w:val="00B43C19"/>
    <w:rsid w:val="00B44DEE"/>
    <w:rsid w:val="00B45490"/>
    <w:rsid w:val="00B460B0"/>
    <w:rsid w:val="00B5520C"/>
    <w:rsid w:val="00B70B84"/>
    <w:rsid w:val="00B80DBF"/>
    <w:rsid w:val="00B8336E"/>
    <w:rsid w:val="00B85FE8"/>
    <w:rsid w:val="00B865DB"/>
    <w:rsid w:val="00B921E0"/>
    <w:rsid w:val="00BA1574"/>
    <w:rsid w:val="00BA1600"/>
    <w:rsid w:val="00BA194E"/>
    <w:rsid w:val="00BA3184"/>
    <w:rsid w:val="00BA3F20"/>
    <w:rsid w:val="00BA611B"/>
    <w:rsid w:val="00BB7F97"/>
    <w:rsid w:val="00BC4D68"/>
    <w:rsid w:val="00BD5CDD"/>
    <w:rsid w:val="00BD6786"/>
    <w:rsid w:val="00BE35AF"/>
    <w:rsid w:val="00BF0797"/>
    <w:rsid w:val="00BF290F"/>
    <w:rsid w:val="00BF2E3E"/>
    <w:rsid w:val="00BF5010"/>
    <w:rsid w:val="00BF50FC"/>
    <w:rsid w:val="00BF79F8"/>
    <w:rsid w:val="00C034E4"/>
    <w:rsid w:val="00C05A04"/>
    <w:rsid w:val="00C06496"/>
    <w:rsid w:val="00C067E0"/>
    <w:rsid w:val="00C122AE"/>
    <w:rsid w:val="00C16153"/>
    <w:rsid w:val="00C17665"/>
    <w:rsid w:val="00C234BD"/>
    <w:rsid w:val="00C26F18"/>
    <w:rsid w:val="00C32DF8"/>
    <w:rsid w:val="00C33626"/>
    <w:rsid w:val="00C337A7"/>
    <w:rsid w:val="00C46C5A"/>
    <w:rsid w:val="00C53061"/>
    <w:rsid w:val="00C53BE8"/>
    <w:rsid w:val="00C63E76"/>
    <w:rsid w:val="00C656B1"/>
    <w:rsid w:val="00C730CC"/>
    <w:rsid w:val="00C77093"/>
    <w:rsid w:val="00CB7C2C"/>
    <w:rsid w:val="00CC062F"/>
    <w:rsid w:val="00CC68BE"/>
    <w:rsid w:val="00CD0745"/>
    <w:rsid w:val="00CD27F1"/>
    <w:rsid w:val="00CD3C90"/>
    <w:rsid w:val="00CE111A"/>
    <w:rsid w:val="00CF30C5"/>
    <w:rsid w:val="00CF4722"/>
    <w:rsid w:val="00CF5C55"/>
    <w:rsid w:val="00CF72CC"/>
    <w:rsid w:val="00D00B54"/>
    <w:rsid w:val="00D048A1"/>
    <w:rsid w:val="00D05AFB"/>
    <w:rsid w:val="00D123C1"/>
    <w:rsid w:val="00D162D1"/>
    <w:rsid w:val="00D234FD"/>
    <w:rsid w:val="00D46CEA"/>
    <w:rsid w:val="00D51B61"/>
    <w:rsid w:val="00D56571"/>
    <w:rsid w:val="00D614A3"/>
    <w:rsid w:val="00D65CF7"/>
    <w:rsid w:val="00D67DE0"/>
    <w:rsid w:val="00D74F66"/>
    <w:rsid w:val="00D756FB"/>
    <w:rsid w:val="00D76AEE"/>
    <w:rsid w:val="00D77554"/>
    <w:rsid w:val="00D85481"/>
    <w:rsid w:val="00D92A83"/>
    <w:rsid w:val="00D9338F"/>
    <w:rsid w:val="00D93E8F"/>
    <w:rsid w:val="00D9582C"/>
    <w:rsid w:val="00DA043A"/>
    <w:rsid w:val="00DA116C"/>
    <w:rsid w:val="00DA168B"/>
    <w:rsid w:val="00DA22C9"/>
    <w:rsid w:val="00DA49DE"/>
    <w:rsid w:val="00DB419A"/>
    <w:rsid w:val="00DC195F"/>
    <w:rsid w:val="00DC3C0E"/>
    <w:rsid w:val="00DC68D5"/>
    <w:rsid w:val="00DD37B4"/>
    <w:rsid w:val="00DD3EC2"/>
    <w:rsid w:val="00DD476B"/>
    <w:rsid w:val="00DE0024"/>
    <w:rsid w:val="00DF4B5A"/>
    <w:rsid w:val="00E01655"/>
    <w:rsid w:val="00E02CCE"/>
    <w:rsid w:val="00E05693"/>
    <w:rsid w:val="00E06BDC"/>
    <w:rsid w:val="00E11D29"/>
    <w:rsid w:val="00E1588B"/>
    <w:rsid w:val="00E16550"/>
    <w:rsid w:val="00E230C7"/>
    <w:rsid w:val="00E31307"/>
    <w:rsid w:val="00E31654"/>
    <w:rsid w:val="00E31F0B"/>
    <w:rsid w:val="00E337B7"/>
    <w:rsid w:val="00E507BC"/>
    <w:rsid w:val="00E5111B"/>
    <w:rsid w:val="00E562AE"/>
    <w:rsid w:val="00E56554"/>
    <w:rsid w:val="00E62093"/>
    <w:rsid w:val="00E62810"/>
    <w:rsid w:val="00E70F6E"/>
    <w:rsid w:val="00E7537D"/>
    <w:rsid w:val="00E81F43"/>
    <w:rsid w:val="00E845AB"/>
    <w:rsid w:val="00E8579D"/>
    <w:rsid w:val="00E87C4F"/>
    <w:rsid w:val="00E90AD0"/>
    <w:rsid w:val="00E91778"/>
    <w:rsid w:val="00E94B49"/>
    <w:rsid w:val="00EA1D1D"/>
    <w:rsid w:val="00EA1D66"/>
    <w:rsid w:val="00EA246B"/>
    <w:rsid w:val="00EA3454"/>
    <w:rsid w:val="00EA5127"/>
    <w:rsid w:val="00EA773B"/>
    <w:rsid w:val="00EB1684"/>
    <w:rsid w:val="00EB2786"/>
    <w:rsid w:val="00EB5B1C"/>
    <w:rsid w:val="00EC140C"/>
    <w:rsid w:val="00ED1FC8"/>
    <w:rsid w:val="00ED25B1"/>
    <w:rsid w:val="00ED325C"/>
    <w:rsid w:val="00ED43BB"/>
    <w:rsid w:val="00ED5D5C"/>
    <w:rsid w:val="00EE6F59"/>
    <w:rsid w:val="00EF1E93"/>
    <w:rsid w:val="00EF3F75"/>
    <w:rsid w:val="00EF6661"/>
    <w:rsid w:val="00F0577E"/>
    <w:rsid w:val="00F10465"/>
    <w:rsid w:val="00F14B1B"/>
    <w:rsid w:val="00F16BAD"/>
    <w:rsid w:val="00F25441"/>
    <w:rsid w:val="00F31C7E"/>
    <w:rsid w:val="00F32AEA"/>
    <w:rsid w:val="00F33643"/>
    <w:rsid w:val="00F34F39"/>
    <w:rsid w:val="00F3662F"/>
    <w:rsid w:val="00F43BFF"/>
    <w:rsid w:val="00F44AF9"/>
    <w:rsid w:val="00F455F8"/>
    <w:rsid w:val="00F56866"/>
    <w:rsid w:val="00F62812"/>
    <w:rsid w:val="00F62A6F"/>
    <w:rsid w:val="00F63A5C"/>
    <w:rsid w:val="00F6410E"/>
    <w:rsid w:val="00F64451"/>
    <w:rsid w:val="00F74EB6"/>
    <w:rsid w:val="00F8620A"/>
    <w:rsid w:val="00F87606"/>
    <w:rsid w:val="00F91115"/>
    <w:rsid w:val="00F91D83"/>
    <w:rsid w:val="00F91F93"/>
    <w:rsid w:val="00F9252A"/>
    <w:rsid w:val="00F93A64"/>
    <w:rsid w:val="00F94A2A"/>
    <w:rsid w:val="00F94FE9"/>
    <w:rsid w:val="00FA112C"/>
    <w:rsid w:val="00FA740D"/>
    <w:rsid w:val="00FB1F51"/>
    <w:rsid w:val="00FB5417"/>
    <w:rsid w:val="00FB56E2"/>
    <w:rsid w:val="00FC5011"/>
    <w:rsid w:val="00FD0B96"/>
    <w:rsid w:val="00FD0DA8"/>
    <w:rsid w:val="00FD47C3"/>
    <w:rsid w:val="00FD4CBE"/>
    <w:rsid w:val="00FD54A5"/>
    <w:rsid w:val="00FD58BE"/>
    <w:rsid w:val="00FE1C1B"/>
    <w:rsid w:val="00FE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styleId="ListParagraph">
    <w:name w:val="List Paragraph"/>
    <w:basedOn w:val="Normal"/>
    <w:uiPriority w:val="34"/>
    <w:qFormat/>
    <w:rsid w:val="00A1661E"/>
    <w:pPr>
      <w:ind w:left="720"/>
      <w:contextualSpacing/>
    </w:pPr>
  </w:style>
  <w:style w:type="character" w:customStyle="1" w:styleId="UnresolvedMention1">
    <w:name w:val="Unresolved Mention1"/>
    <w:basedOn w:val="DefaultParagraphFont"/>
    <w:uiPriority w:val="99"/>
    <w:semiHidden/>
    <w:unhideWhenUsed/>
    <w:rsid w:val="001C4B6D"/>
    <w:rPr>
      <w:color w:val="605E5C"/>
      <w:shd w:val="clear" w:color="auto" w:fill="E1DFDD"/>
    </w:rPr>
  </w:style>
  <w:style w:type="paragraph" w:styleId="Revision">
    <w:name w:val="Revision"/>
    <w:hidden/>
    <w:uiPriority w:val="99"/>
    <w:semiHidden/>
    <w:rsid w:val="003B1C3C"/>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DC3C0E"/>
    <w:rPr>
      <w:color w:val="605E5C"/>
      <w:shd w:val="clear" w:color="auto" w:fill="E1DFDD"/>
    </w:rPr>
  </w:style>
  <w:style w:type="paragraph" w:styleId="FootnoteText">
    <w:name w:val="footnote text"/>
    <w:basedOn w:val="Normal"/>
    <w:link w:val="FootnoteTextChar"/>
    <w:uiPriority w:val="99"/>
    <w:unhideWhenUsed/>
    <w:qFormat/>
    <w:rsid w:val="00645A47"/>
    <w:pPr>
      <w:spacing w:before="0"/>
    </w:pPr>
    <w:rPr>
      <w:sz w:val="20"/>
    </w:rPr>
  </w:style>
  <w:style w:type="character" w:customStyle="1" w:styleId="FootnoteTextChar">
    <w:name w:val="Footnote Text Char"/>
    <w:basedOn w:val="DefaultParagraphFont"/>
    <w:link w:val="FootnoteText"/>
    <w:uiPriority w:val="99"/>
    <w:rsid w:val="00645A47"/>
    <w:rPr>
      <w:rFonts w:ascii="Times New Roman" w:hAnsi="Times New Roman"/>
      <w:lang w:val="en-US" w:eastAsia="en-US"/>
    </w:rPr>
  </w:style>
  <w:style w:type="character" w:styleId="FootnoteReference">
    <w:name w:val="footnote reference"/>
    <w:basedOn w:val="DefaultParagraphFont"/>
    <w:semiHidden/>
    <w:unhideWhenUsed/>
    <w:rsid w:val="00645A47"/>
    <w:rPr>
      <w:vertAlign w:val="superscript"/>
    </w:rPr>
  </w:style>
  <w:style w:type="paragraph" w:styleId="Subtitle">
    <w:name w:val="Subtitle"/>
    <w:basedOn w:val="Normal"/>
    <w:next w:val="Normal"/>
    <w:link w:val="SubtitleChar"/>
    <w:qFormat/>
    <w:rsid w:val="002979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979BB"/>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525616">
      <w:bodyDiv w:val="1"/>
      <w:marLeft w:val="0"/>
      <w:marRight w:val="0"/>
      <w:marTop w:val="0"/>
      <w:marBottom w:val="0"/>
      <w:divBdr>
        <w:top w:val="none" w:sz="0" w:space="0" w:color="auto"/>
        <w:left w:val="none" w:sz="0" w:space="0" w:color="auto"/>
        <w:bottom w:val="none" w:sz="0" w:space="0" w:color="auto"/>
        <w:right w:val="none" w:sz="0" w:space="0" w:color="auto"/>
      </w:divBdr>
    </w:div>
    <w:div w:id="17409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ztina.miklossy@esma.europa.eu"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ichal.Zubrycki-ext@esma.europa.eu" TargetMode="External"/><Relationship Id="rId14" Type="http://schemas.openxmlformats.org/officeDocument/2006/relationships/image" Target="media/image5.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87BF-F3D7-423F-91E8-976FF776FB50}">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1242</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Links>
    <vt:vector size="12" baseType="variant">
      <vt:variant>
        <vt:i4>5374067</vt:i4>
      </vt:variant>
      <vt:variant>
        <vt:i4>3</vt:i4>
      </vt:variant>
      <vt:variant>
        <vt:i4>0</vt:i4>
      </vt:variant>
      <vt:variant>
        <vt:i4>5</vt:i4>
      </vt:variant>
      <vt:variant>
        <vt:lpwstr>mailto:lukasz.popko@esma.europa.eu</vt:lpwstr>
      </vt:variant>
      <vt:variant>
        <vt:lpwstr/>
      </vt:variant>
      <vt:variant>
        <vt:i4>458802</vt:i4>
      </vt:variant>
      <vt:variant>
        <vt:i4>0</vt:i4>
      </vt:variant>
      <vt:variant>
        <vt:i4>0</vt:i4>
      </vt:variant>
      <vt:variant>
        <vt:i4>5</vt:i4>
      </vt:variant>
      <vt:variant>
        <vt:lpwstr>mailto:cyril.minoux@esma.europa.eu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2023-11-03T11:00:00Z</dcterms:created>
  <dcterms:modified xsi:type="dcterms:W3CDTF">2023-11-09T10:09:00Z</dcterms:modified>
</cp:coreProperties>
</file>