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614614E" w14:textId="16E5C2D5" w:rsidR="00EA05A0" w:rsidRDefault="00EA05A0" w:rsidP="008438AF">
      <w:pPr>
        <w:rPr>
          <w:szCs w:val="24"/>
          <w:lang w:val="en-GB"/>
        </w:rPr>
      </w:pPr>
    </w:p>
    <w:p w14:paraId="07702286" w14:textId="3FD8ADC2" w:rsidR="00EA05A0" w:rsidRDefault="00EA05A0" w:rsidP="008438AF">
      <w:pPr>
        <w:rPr>
          <w:szCs w:val="24"/>
          <w:lang w:val="en-GB"/>
        </w:rPr>
      </w:pPr>
      <w:r>
        <w:rPr>
          <w:szCs w:val="24"/>
          <w:lang w:val="en-GB"/>
        </w:rPr>
        <w:t>Euronext CPH, NMPG Denmark</w:t>
      </w:r>
    </w:p>
    <w:p w14:paraId="768ED0DA" w14:textId="5FEF322E" w:rsidR="00EA05A0" w:rsidRDefault="00EA05A0" w:rsidP="008438AF">
      <w:pPr>
        <w:rPr>
          <w:szCs w:val="24"/>
          <w:lang w:val="en-GB"/>
        </w:rPr>
      </w:pPr>
    </w:p>
    <w:p w14:paraId="7664F9A1" w14:textId="1737B49C" w:rsidR="00EA05A0" w:rsidRDefault="00EA05A0" w:rsidP="008438AF">
      <w:pPr>
        <w:rPr>
          <w:szCs w:val="24"/>
          <w:lang w:val="en-GB"/>
        </w:rPr>
      </w:pPr>
      <w:r>
        <w:rPr>
          <w:szCs w:val="24"/>
          <w:lang w:val="en-GB"/>
        </w:rPr>
        <w:t xml:space="preserve">Submitted by Randi Hattens </w:t>
      </w:r>
      <w:hyperlink r:id="rId10" w:history="1">
        <w:r w:rsidRPr="00E048DE">
          <w:rPr>
            <w:rStyle w:val="Hyperlink"/>
            <w:szCs w:val="24"/>
            <w:lang w:val="en-GB"/>
          </w:rPr>
          <w:t>rmhattens@euronext.com</w:t>
        </w:r>
      </w:hyperlink>
      <w:r>
        <w:rPr>
          <w:szCs w:val="24"/>
          <w:lang w:val="en-GB"/>
        </w:rPr>
        <w:t xml:space="preserve"> </w:t>
      </w:r>
      <w:proofErr w:type="spellStart"/>
      <w:r>
        <w:rPr>
          <w:szCs w:val="24"/>
          <w:lang w:val="en-GB"/>
        </w:rPr>
        <w:t>ph</w:t>
      </w:r>
      <w:proofErr w:type="spellEnd"/>
      <w:r>
        <w:rPr>
          <w:szCs w:val="24"/>
          <w:lang w:val="en-GB"/>
        </w:rPr>
        <w:t>: +45 28 44 50 19</w:t>
      </w:r>
    </w:p>
    <w:p w14:paraId="7D3E83FC" w14:textId="10273A47" w:rsidR="00854FA6" w:rsidRDefault="00854FA6" w:rsidP="00854FA6">
      <w:pPr>
        <w:numPr>
          <w:ilvl w:val="0"/>
          <w:numId w:val="6"/>
        </w:numPr>
        <w:rPr>
          <w:b/>
          <w:lang w:val="en-GB"/>
        </w:rPr>
      </w:pPr>
      <w:r>
        <w:rPr>
          <w:b/>
          <w:lang w:val="en-GB"/>
        </w:rPr>
        <w:t>Related m</w:t>
      </w:r>
      <w:r w:rsidRPr="00451986">
        <w:rPr>
          <w:b/>
          <w:lang w:val="en-GB"/>
        </w:rPr>
        <w:t>essages:</w:t>
      </w:r>
    </w:p>
    <w:p w14:paraId="627EB5C2" w14:textId="77777777" w:rsidR="00EA05A0" w:rsidRDefault="00EA05A0" w:rsidP="00EA05A0">
      <w:pPr>
        <w:rPr>
          <w:bCs/>
          <w:lang w:val="en-GB"/>
        </w:rPr>
      </w:pPr>
    </w:p>
    <w:p w14:paraId="183D29BC" w14:textId="02200854" w:rsidR="00EA05A0" w:rsidRDefault="00EA05A0" w:rsidP="00EA05A0">
      <w:pPr>
        <w:rPr>
          <w:bCs/>
          <w:lang w:val="en-GB"/>
        </w:rPr>
      </w:pPr>
      <w:r>
        <w:rPr>
          <w:bCs/>
          <w:lang w:val="en-GB"/>
        </w:rPr>
        <w:t xml:space="preserve">Seev.031* and Seev.035* </w:t>
      </w:r>
    </w:p>
    <w:p w14:paraId="3A725016" w14:textId="77777777" w:rsidR="00EA05A0" w:rsidRPr="00EA05A0" w:rsidRDefault="00EA05A0" w:rsidP="00EA05A0">
      <w:pPr>
        <w:rPr>
          <w:bCs/>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120C497C" w14:textId="77777777" w:rsidR="00EA05A0" w:rsidRDefault="00EA05A0" w:rsidP="00AA5E76">
      <w:pPr>
        <w:rPr>
          <w:lang w:val="en-GB"/>
        </w:rPr>
      </w:pPr>
    </w:p>
    <w:p w14:paraId="3BA11033" w14:textId="668AF261" w:rsidR="001B0457" w:rsidRDefault="001B0457" w:rsidP="00EA05A0">
      <w:pPr>
        <w:rPr>
          <w:szCs w:val="24"/>
        </w:rPr>
      </w:pPr>
      <w:r w:rsidRPr="001B0457">
        <w:rPr>
          <w:szCs w:val="24"/>
        </w:rPr>
        <w:t xml:space="preserve">The </w:t>
      </w:r>
      <w:r>
        <w:rPr>
          <w:szCs w:val="24"/>
        </w:rPr>
        <w:t>change request to align 15022 and 20022 msg with regards to claim indicators</w:t>
      </w:r>
    </w:p>
    <w:p w14:paraId="7B815278" w14:textId="2B45C0A1" w:rsidR="001B0457" w:rsidRDefault="001B0457" w:rsidP="00EA05A0">
      <w:pPr>
        <w:rPr>
          <w:szCs w:val="24"/>
        </w:rPr>
      </w:pPr>
    </w:p>
    <w:p w14:paraId="2DFB9DDB" w14:textId="183A94C3" w:rsidR="001B0457" w:rsidRDefault="001B0457" w:rsidP="00EA05A0">
      <w:pPr>
        <w:rPr>
          <w:szCs w:val="24"/>
        </w:rPr>
      </w:pPr>
      <w:r>
        <w:rPr>
          <w:szCs w:val="24"/>
        </w:rPr>
        <w:t>Currently there are missing indicators in the ISO 20022 msg seev.035 and seev.031 regarding the indicators ACLA and CLAI compared with the indicators in ISO 15022.</w:t>
      </w:r>
    </w:p>
    <w:p w14:paraId="1A69BCE8" w14:textId="6580CF5E" w:rsidR="001B0457" w:rsidRDefault="001B0457" w:rsidP="00EA05A0">
      <w:pPr>
        <w:rPr>
          <w:szCs w:val="24"/>
        </w:rPr>
      </w:pPr>
    </w:p>
    <w:p w14:paraId="19A0471B" w14:textId="4D490AE3" w:rsidR="001B0457" w:rsidRDefault="001B0457" w:rsidP="00EA05A0">
      <w:r>
        <w:t>The seev.035 does not have the ACLA and the seev.031 does not have the CLAI, however in 15022 you are able to send both indicators in notification msg and REPE message.</w:t>
      </w:r>
    </w:p>
    <w:p w14:paraId="32400857" w14:textId="77777777" w:rsidR="001B0457" w:rsidRPr="001B0457" w:rsidRDefault="001B0457" w:rsidP="001B0457">
      <w:pPr>
        <w:pStyle w:val="PlainText"/>
        <w:rPr>
          <w:rFonts w:ascii="Times New Roman" w:eastAsia="Times" w:hAnsi="Times New Roman"/>
          <w:sz w:val="24"/>
          <w:szCs w:val="20"/>
          <w:lang w:val="en-US"/>
        </w:rPr>
      </w:pPr>
      <w:r w:rsidRPr="001B0457">
        <w:rPr>
          <w:rFonts w:ascii="Times New Roman" w:eastAsia="Times" w:hAnsi="Times New Roman"/>
          <w:sz w:val="24"/>
          <w:szCs w:val="20"/>
          <w:lang w:val="en-US"/>
        </w:rPr>
        <w:t>It causes confusion in the STP flow with different indicators in different messages, starting in seev.031 changing in seev.035 and the changing back in seev.036.</w:t>
      </w:r>
    </w:p>
    <w:p w14:paraId="5D8CD15D" w14:textId="77777777" w:rsidR="001B0457" w:rsidRPr="001B0457" w:rsidRDefault="001B0457" w:rsidP="001B0457">
      <w:pPr>
        <w:pStyle w:val="PlainText"/>
        <w:rPr>
          <w:rFonts w:ascii="Times New Roman" w:eastAsia="Times" w:hAnsi="Times New Roman"/>
          <w:sz w:val="24"/>
          <w:szCs w:val="20"/>
          <w:lang w:val="en-US"/>
        </w:rPr>
      </w:pPr>
    </w:p>
    <w:p w14:paraId="06339656" w14:textId="7E48BBDE" w:rsidR="001B0457" w:rsidRPr="001B0457" w:rsidRDefault="001B0457" w:rsidP="00EA05A0">
      <w:pPr>
        <w:rPr>
          <w:szCs w:val="24"/>
        </w:rPr>
      </w:pPr>
    </w:p>
    <w:p w14:paraId="258F08F2" w14:textId="14EA2D23" w:rsidR="001B0457" w:rsidRDefault="001B0457" w:rsidP="00EA05A0">
      <w:pPr>
        <w:rPr>
          <w:b/>
          <w:bCs/>
          <w:sz w:val="28"/>
          <w:szCs w:val="28"/>
        </w:rPr>
      </w:pPr>
      <w:r>
        <w:rPr>
          <w:b/>
          <w:bCs/>
          <w:sz w:val="28"/>
          <w:szCs w:val="28"/>
        </w:rPr>
        <w:t xml:space="preserve">Please find below overview of msg. and indicators: </w:t>
      </w:r>
    </w:p>
    <w:p w14:paraId="76D2615E" w14:textId="77777777" w:rsidR="001B0457" w:rsidRDefault="001B0457" w:rsidP="00EA05A0">
      <w:pPr>
        <w:rPr>
          <w:b/>
          <w:bCs/>
          <w:sz w:val="28"/>
          <w:szCs w:val="28"/>
        </w:rPr>
      </w:pPr>
    </w:p>
    <w:p w14:paraId="362C752B" w14:textId="2CF747ED" w:rsidR="00EA05A0" w:rsidRPr="00EC2064" w:rsidRDefault="00EA05A0" w:rsidP="00EA05A0">
      <w:pPr>
        <w:rPr>
          <w:b/>
          <w:bCs/>
          <w:sz w:val="28"/>
          <w:szCs w:val="28"/>
        </w:rPr>
      </w:pPr>
      <w:r w:rsidRPr="00EC2064">
        <w:rPr>
          <w:b/>
          <w:bCs/>
          <w:sz w:val="28"/>
          <w:szCs w:val="28"/>
        </w:rPr>
        <w:lastRenderedPageBreak/>
        <w:t>Seev.031</w:t>
      </w:r>
    </w:p>
    <w:p w14:paraId="6297B6F4" w14:textId="77777777" w:rsidR="00EA05A0" w:rsidRPr="00EC2064" w:rsidRDefault="00EA05A0" w:rsidP="00EA05A0"/>
    <w:p w14:paraId="7152A1A7" w14:textId="77777777" w:rsidR="00EA05A0" w:rsidRPr="0036160D" w:rsidRDefault="00EA05A0" w:rsidP="00EA05A0">
      <w:pPr>
        <w:rPr>
          <w:b/>
          <w:bCs/>
        </w:rPr>
      </w:pPr>
      <w:r w:rsidRPr="0036160D">
        <w:rPr>
          <w:b/>
          <w:bCs/>
        </w:rPr>
        <w:t xml:space="preserve">CA </w:t>
      </w:r>
      <w:r>
        <w:rPr>
          <w:b/>
          <w:bCs/>
        </w:rPr>
        <w:t>Details</w:t>
      </w:r>
    </w:p>
    <w:p w14:paraId="0A107CE8" w14:textId="77777777" w:rsidR="00EA05A0" w:rsidRDefault="00EA05A0" w:rsidP="00EA05A0"/>
    <w:p w14:paraId="35947FDD" w14:textId="77777777" w:rsidR="00EA05A0" w:rsidRDefault="00EA05A0" w:rsidP="00EA05A0">
      <w:pPr>
        <w:pStyle w:val="ListParagraph"/>
        <w:numPr>
          <w:ilvl w:val="0"/>
          <w:numId w:val="17"/>
        </w:numPr>
      </w:pPr>
      <w:r>
        <w:t>Additional Business Process Indicator</w:t>
      </w:r>
    </w:p>
    <w:p w14:paraId="1CFA01E0" w14:textId="77777777" w:rsidR="00EA05A0" w:rsidRPr="0017646B" w:rsidRDefault="00EA05A0" w:rsidP="00EA05A0">
      <w:pPr>
        <w:pStyle w:val="ListParagraph"/>
        <w:numPr>
          <w:ilvl w:val="1"/>
          <w:numId w:val="17"/>
        </w:numPr>
      </w:pPr>
      <w:r w:rsidRPr="0017646B">
        <w:t xml:space="preserve">Automatic Market Claim (ACLA) </w:t>
      </w:r>
    </w:p>
    <w:p w14:paraId="3E26B7E1" w14:textId="77777777" w:rsidR="00EA05A0" w:rsidRPr="00BE25EB" w:rsidRDefault="00EA05A0" w:rsidP="00EA05A0">
      <w:pPr>
        <w:pStyle w:val="ListParagraph"/>
        <w:numPr>
          <w:ilvl w:val="2"/>
          <w:numId w:val="17"/>
        </w:numPr>
        <w:rPr>
          <w:lang w:val="en-US"/>
        </w:rPr>
      </w:pPr>
      <w:r w:rsidRPr="00D54474">
        <w:rPr>
          <w:rFonts w:ascii="Arial" w:hAnsi="Arial" w:cs="Arial"/>
          <w:color w:val="333333"/>
          <w:sz w:val="21"/>
          <w:szCs w:val="21"/>
          <w:shd w:val="clear" w:color="auto" w:fill="FFFFFF"/>
          <w:lang w:val="en-US"/>
        </w:rPr>
        <w:t>Will automatically give rise to market claims by the account servicer, for example, a Central Securities Depository (CSD).</w:t>
      </w:r>
    </w:p>
    <w:p w14:paraId="6E6913D8" w14:textId="77777777" w:rsidR="00EA05A0" w:rsidRPr="00BE25EB" w:rsidRDefault="00EA05A0" w:rsidP="00EA05A0">
      <w:pPr>
        <w:pStyle w:val="ListParagraph"/>
        <w:numPr>
          <w:ilvl w:val="1"/>
          <w:numId w:val="17"/>
        </w:numPr>
        <w:rPr>
          <w:strike/>
          <w:lang w:val="en-US"/>
        </w:rPr>
      </w:pPr>
      <w:r w:rsidRPr="00BE25EB">
        <w:rPr>
          <w:strike/>
          <w:lang w:val="en-US"/>
        </w:rPr>
        <w:t>Claim Or Compensation (CLAI)</w:t>
      </w:r>
    </w:p>
    <w:p w14:paraId="502B2EE4" w14:textId="77777777" w:rsidR="00EA05A0" w:rsidRPr="0017646B" w:rsidRDefault="00EA05A0" w:rsidP="00EA05A0">
      <w:pPr>
        <w:pStyle w:val="ListParagraph"/>
        <w:ind w:left="1440"/>
        <w:rPr>
          <w:lang w:val="en-US"/>
        </w:rPr>
      </w:pPr>
    </w:p>
    <w:p w14:paraId="23B2D08C" w14:textId="77777777" w:rsidR="00EA05A0" w:rsidRDefault="00EA05A0" w:rsidP="00EA05A0"/>
    <w:p w14:paraId="1DF75E08" w14:textId="77777777" w:rsidR="00EA05A0" w:rsidRPr="00A73FB0" w:rsidRDefault="00EA05A0" w:rsidP="00EA05A0">
      <w:pPr>
        <w:rPr>
          <w:b/>
          <w:bCs/>
          <w:sz w:val="28"/>
          <w:szCs w:val="28"/>
        </w:rPr>
      </w:pPr>
      <w:r w:rsidRPr="00A73FB0">
        <w:rPr>
          <w:b/>
          <w:bCs/>
          <w:sz w:val="28"/>
          <w:szCs w:val="28"/>
        </w:rPr>
        <w:t>Seev.035</w:t>
      </w:r>
    </w:p>
    <w:p w14:paraId="35DF2436" w14:textId="77777777" w:rsidR="00EA05A0" w:rsidRDefault="00EA05A0" w:rsidP="00EA05A0">
      <w:pPr>
        <w:pStyle w:val="ListParagraph"/>
        <w:numPr>
          <w:ilvl w:val="0"/>
          <w:numId w:val="17"/>
        </w:numPr>
        <w:rPr>
          <w:lang w:val="en-US"/>
        </w:rPr>
      </w:pPr>
      <w:r>
        <w:rPr>
          <w:lang w:val="en-US"/>
        </w:rPr>
        <w:t>Additional Business Process Indicator</w:t>
      </w:r>
    </w:p>
    <w:p w14:paraId="4C7CF426" w14:textId="77777777" w:rsidR="00EA05A0" w:rsidRDefault="00EA05A0" w:rsidP="00EA05A0">
      <w:pPr>
        <w:pStyle w:val="ListParagraph"/>
        <w:numPr>
          <w:ilvl w:val="1"/>
          <w:numId w:val="17"/>
        </w:numPr>
        <w:rPr>
          <w:lang w:val="en-US"/>
        </w:rPr>
      </w:pPr>
      <w:r>
        <w:rPr>
          <w:lang w:val="en-US"/>
        </w:rPr>
        <w:t xml:space="preserve">Claim Or Compensation (CLAI)  </w:t>
      </w:r>
    </w:p>
    <w:p w14:paraId="70AF290C" w14:textId="77777777" w:rsidR="00EA05A0" w:rsidRDefault="00EA05A0" w:rsidP="00EA05A0">
      <w:pPr>
        <w:pStyle w:val="ListParagraph"/>
        <w:numPr>
          <w:ilvl w:val="2"/>
          <w:numId w:val="17"/>
        </w:numPr>
        <w:rPr>
          <w:lang w:val="en-US"/>
        </w:rPr>
      </w:pPr>
      <w:r w:rsidRPr="004A74D3">
        <w:rPr>
          <w:rFonts w:ascii="Arial" w:hAnsi="Arial" w:cs="Arial"/>
          <w:color w:val="333333"/>
          <w:sz w:val="21"/>
          <w:szCs w:val="21"/>
          <w:shd w:val="clear" w:color="auto" w:fill="FFFFFF"/>
          <w:lang w:val="en-US"/>
        </w:rPr>
        <w:t>Relates to a claim on the associated corporate action event.</w:t>
      </w:r>
    </w:p>
    <w:p w14:paraId="0AC6A9FF" w14:textId="77777777" w:rsidR="00EA05A0" w:rsidRPr="00BE25EB" w:rsidRDefault="00EA05A0" w:rsidP="00EA05A0">
      <w:pPr>
        <w:pStyle w:val="ListParagraph"/>
        <w:numPr>
          <w:ilvl w:val="1"/>
          <w:numId w:val="17"/>
        </w:numPr>
        <w:rPr>
          <w:strike/>
          <w:lang w:val="en-US"/>
        </w:rPr>
      </w:pPr>
      <w:r w:rsidRPr="00BE25EB">
        <w:rPr>
          <w:strike/>
          <w:lang w:val="en-US"/>
        </w:rPr>
        <w:t>Automatic Market Claim (ACLA)</w:t>
      </w:r>
    </w:p>
    <w:p w14:paraId="02746033" w14:textId="77777777" w:rsidR="00EA05A0" w:rsidRPr="00BE25EB" w:rsidRDefault="00EA05A0" w:rsidP="00EA05A0">
      <w:pPr>
        <w:pStyle w:val="ListParagraph"/>
        <w:ind w:left="1440"/>
        <w:rPr>
          <w:lang w:val="en-US"/>
        </w:rPr>
      </w:pPr>
    </w:p>
    <w:p w14:paraId="459B3FB8" w14:textId="77777777" w:rsidR="00EA05A0" w:rsidRDefault="00EA05A0" w:rsidP="00EA05A0"/>
    <w:p w14:paraId="6FE862B7" w14:textId="77777777" w:rsidR="00EA05A0" w:rsidRPr="00A73FB0" w:rsidRDefault="00EA05A0" w:rsidP="00EA05A0">
      <w:pPr>
        <w:rPr>
          <w:b/>
          <w:bCs/>
          <w:sz w:val="28"/>
          <w:szCs w:val="28"/>
        </w:rPr>
      </w:pPr>
      <w:r w:rsidRPr="00A73FB0">
        <w:rPr>
          <w:b/>
          <w:bCs/>
          <w:sz w:val="28"/>
          <w:szCs w:val="28"/>
        </w:rPr>
        <w:t xml:space="preserve">Seev.036 </w:t>
      </w:r>
    </w:p>
    <w:p w14:paraId="411FF467" w14:textId="77777777" w:rsidR="00EA05A0" w:rsidRDefault="00EA05A0" w:rsidP="00EA05A0">
      <w:r>
        <w:t>CA General Inform</w:t>
      </w:r>
    </w:p>
    <w:p w14:paraId="01EFD8E1" w14:textId="77777777" w:rsidR="00EA05A0" w:rsidRDefault="00EA05A0" w:rsidP="00EA05A0">
      <w:pPr>
        <w:pStyle w:val="ListParagraph"/>
        <w:numPr>
          <w:ilvl w:val="0"/>
          <w:numId w:val="17"/>
        </w:numPr>
        <w:rPr>
          <w:lang w:val="en-US"/>
        </w:rPr>
      </w:pPr>
      <w:r>
        <w:rPr>
          <w:lang w:val="en-US"/>
        </w:rPr>
        <w:t>Additional business process Indicator</w:t>
      </w:r>
    </w:p>
    <w:p w14:paraId="695FF1D3" w14:textId="77777777" w:rsidR="00EA05A0" w:rsidRDefault="00EA05A0" w:rsidP="00EA05A0">
      <w:pPr>
        <w:pStyle w:val="ListParagraph"/>
        <w:numPr>
          <w:ilvl w:val="1"/>
          <w:numId w:val="17"/>
        </w:numPr>
        <w:rPr>
          <w:lang w:val="en-US"/>
        </w:rPr>
      </w:pPr>
      <w:r>
        <w:rPr>
          <w:lang w:val="en-US"/>
        </w:rPr>
        <w:t>Automatic Market Claim (ACLA)</w:t>
      </w:r>
    </w:p>
    <w:p w14:paraId="20CD0D70" w14:textId="77777777" w:rsidR="00EA05A0" w:rsidRDefault="00EA05A0" w:rsidP="00EA05A0">
      <w:pPr>
        <w:pStyle w:val="ListParagraph"/>
        <w:numPr>
          <w:ilvl w:val="1"/>
          <w:numId w:val="17"/>
        </w:numPr>
        <w:rPr>
          <w:lang w:val="en-US"/>
        </w:rPr>
      </w:pPr>
      <w:r>
        <w:rPr>
          <w:lang w:val="en-US"/>
        </w:rPr>
        <w:t>Claim Or Compensation (CLAI)</w:t>
      </w:r>
    </w:p>
    <w:p w14:paraId="4E2E658F" w14:textId="77777777" w:rsidR="00EA05A0" w:rsidRDefault="00EA05A0" w:rsidP="00AA5E76">
      <w:pPr>
        <w:rPr>
          <w:lang w:val="en-GB"/>
        </w:rPr>
      </w:pPr>
    </w:p>
    <w:p w14:paraId="0C01A53B" w14:textId="77777777" w:rsidR="00EA05A0" w:rsidRDefault="00EA05A0" w:rsidP="00AA5E76">
      <w:pPr>
        <w:rPr>
          <w:lang w:val="en-GB"/>
        </w:rPr>
      </w:pPr>
    </w:p>
    <w:p w14:paraId="3BB91AEE" w14:textId="24B9203D"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0EBBC696" w14:textId="33737F43" w:rsidR="001B0457" w:rsidRPr="001B0457" w:rsidRDefault="001B0457" w:rsidP="001B0457">
      <w:pPr>
        <w:ind w:left="360"/>
        <w:rPr>
          <w:bCs/>
          <w:szCs w:val="24"/>
          <w:lang w:val="en-GB"/>
        </w:rPr>
      </w:pPr>
      <w:r>
        <w:rPr>
          <w:bCs/>
          <w:szCs w:val="24"/>
          <w:lang w:val="en-GB"/>
        </w:rPr>
        <w:t>To align ISO 15022 and 20022 with claim indicators. (</w:t>
      </w:r>
      <w:proofErr w:type="gramStart"/>
      <w:r>
        <w:rPr>
          <w:bCs/>
          <w:szCs w:val="24"/>
          <w:lang w:val="en-GB"/>
        </w:rPr>
        <w:t>add</w:t>
      </w:r>
      <w:proofErr w:type="gramEnd"/>
      <w:r>
        <w:rPr>
          <w:bCs/>
          <w:szCs w:val="24"/>
          <w:lang w:val="en-GB"/>
        </w:rPr>
        <w:t xml:space="preserve"> indicators in msg. seev.031*, and seev.035*)</w:t>
      </w:r>
    </w:p>
    <w:p w14:paraId="3313734C" w14:textId="0C3B0593" w:rsidR="001B0457" w:rsidRDefault="001B0457" w:rsidP="001B0457">
      <w:pPr>
        <w:ind w:left="360"/>
        <w:rPr>
          <w:b/>
          <w:szCs w:val="24"/>
          <w:lang w:val="en-GB"/>
        </w:rPr>
      </w:pPr>
    </w:p>
    <w:p w14:paraId="4F519F82" w14:textId="77777777" w:rsidR="001B0457" w:rsidRPr="001B0457" w:rsidRDefault="001B0457" w:rsidP="001B0457">
      <w:pPr>
        <w:ind w:left="360"/>
        <w:rPr>
          <w:b/>
          <w:szCs w:val="24"/>
          <w:lang w:val="en-GB"/>
        </w:rPr>
      </w:pPr>
    </w:p>
    <w:p w14:paraId="41294612" w14:textId="04B0D3D8"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4B117392" w:rsidR="00CB683A" w:rsidRDefault="00911609" w:rsidP="00F34C66">
      <w:pPr>
        <w:rPr>
          <w:iCs/>
          <w:szCs w:val="24"/>
          <w:lang w:val="en-GB"/>
        </w:rPr>
      </w:pPr>
      <w:r w:rsidRPr="00911609">
        <w:rPr>
          <w:iCs/>
          <w:szCs w:val="24"/>
          <w:lang w:val="en-GB"/>
        </w:rPr>
        <w:t>SR2024</w:t>
      </w:r>
      <w:r w:rsidR="00CB683A" w:rsidRPr="00911609">
        <w:rPr>
          <w:iCs/>
          <w:szCs w:val="24"/>
          <w:lang w:val="en-GB"/>
        </w:rPr>
        <w:t xml:space="preserve"> </w:t>
      </w:r>
    </w:p>
    <w:p w14:paraId="778B9343" w14:textId="77777777" w:rsidR="00911609" w:rsidRPr="00911609" w:rsidRDefault="00911609" w:rsidP="00F34C66">
      <w:pPr>
        <w:rPr>
          <w:iCs/>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1993" w14:textId="77777777" w:rsidR="004D0B29" w:rsidRDefault="004D0B29">
      <w:r>
        <w:separator/>
      </w:r>
    </w:p>
  </w:endnote>
  <w:endnote w:type="continuationSeparator" w:id="0">
    <w:p w14:paraId="1674D798"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3A4F508E" w:rsidR="00567F13" w:rsidRDefault="00911609">
    <w:pPr>
      <w:pStyle w:val="Footer"/>
      <w:rPr>
        <w:rStyle w:val="PageNumber"/>
      </w:rPr>
    </w:pPr>
    <w:r>
      <w:rPr>
        <w:noProof/>
      </w:rPr>
      <mc:AlternateContent>
        <mc:Choice Requires="wps">
          <w:drawing>
            <wp:anchor distT="0" distB="0" distL="114300" distR="114300" simplePos="0" relativeHeight="251658240" behindDoc="0" locked="0" layoutInCell="0" allowOverlap="1" wp14:anchorId="70621289" wp14:editId="2EF9A583">
              <wp:simplePos x="0" y="0"/>
              <wp:positionH relativeFrom="page">
                <wp:posOffset>0</wp:posOffset>
              </wp:positionH>
              <wp:positionV relativeFrom="page">
                <wp:posOffset>10225405</wp:posOffset>
              </wp:positionV>
              <wp:extent cx="7562215" cy="273685"/>
              <wp:effectExtent l="0" t="0" r="0" b="0"/>
              <wp:wrapNone/>
              <wp:docPr id="1" name="MSIPCM836844298cb99d5b0507bcb9" descr="{&quot;HashCode&quot;:-12526439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DA728" w14:textId="5BF29E91" w:rsidR="00911609" w:rsidRPr="00911609" w:rsidRDefault="00911609" w:rsidP="00911609">
                          <w:pPr>
                            <w:spacing w:before="0"/>
                            <w:jc w:val="center"/>
                            <w:rPr>
                              <w:rFonts w:ascii="Calibri" w:hAnsi="Calibri" w:cs="Calibri"/>
                              <w:color w:val="FFEF00"/>
                              <w:sz w:val="20"/>
                            </w:rPr>
                          </w:pPr>
                          <w:r w:rsidRPr="00911609">
                            <w:rPr>
                              <w:rFonts w:ascii="Calibri" w:hAnsi="Calibri" w:cs="Calibri"/>
                              <w:color w:val="FFEF00"/>
                              <w:sz w:val="20"/>
                            </w:rPr>
                            <w:t>PRIVATE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0621289" id="_x0000_t202" coordsize="21600,21600" o:spt="202" path="m,l,21600r21600,l21600,xe">
              <v:stroke joinstyle="miter"/>
              <v:path gradientshapeok="t" o:connecttype="rect"/>
            </v:shapetype>
            <v:shape id="MSIPCM836844298cb99d5b0507bcb9" o:spid="_x0000_s1026" type="#_x0000_t202" alt="{&quot;HashCode&quot;:-1252643908,&quot;Height&quot;:841.0,&quot;Width&quot;:595.0,&quot;Placement&quot;:&quot;Footer&quot;,&quot;Index&quot;:&quot;Primary&quot;,&quot;Section&quot;:1,&quot;Top&quot;:0.0,&quot;Left&quot;:0.0}" style="position:absolute;margin-left:0;margin-top:805.15pt;width:595.4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" o:allowincell="f" filled="f" stroked="f">
              <v:textbox inset=",0,,0">
                <w:txbxContent>
                  <w:p w14:paraId="77ADA728" w14:textId="5BF29E91" w:rsidR="00911609" w:rsidRPr="00911609" w:rsidRDefault="00911609" w:rsidP="00911609">
                    <w:pPr>
                      <w:spacing w:before="0"/>
                      <w:jc w:val="center"/>
                      <w:rPr>
                        <w:rFonts w:ascii="Calibri" w:hAnsi="Calibri" w:cs="Calibri"/>
                        <w:color w:val="FFEF00"/>
                        <w:sz w:val="20"/>
                      </w:rPr>
                    </w:pPr>
                    <w:r w:rsidRPr="00911609">
                      <w:rPr>
                        <w:rFonts w:ascii="Calibri" w:hAnsi="Calibri" w:cs="Calibri"/>
                        <w:color w:val="FFEF00"/>
                        <w:sz w:val="20"/>
                      </w:rPr>
                      <w:t>PRIVATE</w:t>
                    </w:r>
                  </w:p>
                </w:txbxContent>
              </v:textbox>
              <w10:wrap anchorx="page" anchory="page"/>
            </v:shape>
          </w:pict>
        </mc:Fallback>
      </mc:AlternateContent>
    </w:r>
    <w:fldSimple w:instr=" FILENAME   \* MERGEFORMAT ">
      <w:r w:rsidR="00633B0A">
        <w:rPr>
          <w:noProof/>
        </w:rPr>
        <w:t>ChangeRequestTemplate_v1</w:t>
      </w:r>
    </w:fldSimple>
    <w:r w:rsidR="00567F13">
      <w:tab/>
      <w:t xml:space="preserve">Produced by </w:t>
    </w:r>
    <w:r w:rsidR="00C7056E" w:rsidRPr="00783E6C">
      <w:rPr>
        <w:highlight w:val="yellow"/>
      </w:rPr>
      <w:t>submitter</w:t>
    </w:r>
    <w:r w:rsidR="00783E6C" w:rsidRPr="00783E6C">
      <w:rPr>
        <w:highlight w:val="yellow"/>
      </w:rPr>
      <w:t xml:space="preserve"> </w:t>
    </w:r>
    <w:proofErr w:type="spellStart"/>
    <w:r w:rsidR="00783E6C" w:rsidRPr="00783E6C">
      <w:rPr>
        <w:highlight w:val="yellow"/>
      </w:rPr>
      <w:t>organisation</w:t>
    </w:r>
    <w:proofErr w:type="spellEnd"/>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3DE2" w14:textId="77777777" w:rsidR="004D0B29" w:rsidRDefault="004D0B29">
      <w:r>
        <w:separator/>
      </w:r>
    </w:p>
  </w:footnote>
  <w:footnote w:type="continuationSeparator" w:id="0">
    <w:p w14:paraId="5640C00D"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0D9BCFEF" w:rsidR="00E74C04" w:rsidRPr="00801493" w:rsidRDefault="00801493">
    <w:pPr>
      <w:pStyle w:val="Header"/>
      <w:rPr>
        <w:lang w:val="fr-BE"/>
      </w:rPr>
    </w:pPr>
    <w:r>
      <w:rPr>
        <w:lang w:val="fr-BE"/>
      </w:rPr>
      <w:t xml:space="preserve">RA ID : </w:t>
    </w:r>
    <w:r w:rsidR="00E60A95">
      <w:rPr>
        <w:lang w:val="fr-BE"/>
      </w:rPr>
      <w:t>CR</w:t>
    </w:r>
    <w:r w:rsidR="00C50851">
      <w:rPr>
        <w:lang w:val="fr-BE"/>
      </w:rPr>
      <w:t>1156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67BBB"/>
    <w:multiLevelType w:val="hybridMultilevel"/>
    <w:tmpl w:val="ECA4F4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1"/>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0457"/>
    <w:rsid w:val="001B1858"/>
    <w:rsid w:val="001D0D1B"/>
    <w:rsid w:val="001D176B"/>
    <w:rsid w:val="001D20B3"/>
    <w:rsid w:val="001E287E"/>
    <w:rsid w:val="001E2B1C"/>
    <w:rsid w:val="001E3BCF"/>
    <w:rsid w:val="00213ABA"/>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1609"/>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0851"/>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55EC5"/>
    <w:rsid w:val="00E60A95"/>
    <w:rsid w:val="00E67D1B"/>
    <w:rsid w:val="00E74C04"/>
    <w:rsid w:val="00E7537D"/>
    <w:rsid w:val="00E76E67"/>
    <w:rsid w:val="00E840B6"/>
    <w:rsid w:val="00E845AB"/>
    <w:rsid w:val="00E8579D"/>
    <w:rsid w:val="00E928F1"/>
    <w:rsid w:val="00EA05A0"/>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EA05A0"/>
    <w:rPr>
      <w:color w:val="605E5C"/>
      <w:shd w:val="clear" w:color="auto" w:fill="E1DFDD"/>
    </w:rPr>
  </w:style>
  <w:style w:type="paragraph" w:styleId="ListParagraph">
    <w:name w:val="List Paragraph"/>
    <w:basedOn w:val="Normal"/>
    <w:uiPriority w:val="34"/>
    <w:qFormat/>
    <w:rsid w:val="00EA05A0"/>
    <w:pPr>
      <w:spacing w:before="0" w:after="160" w:line="259" w:lineRule="auto"/>
      <w:ind w:left="720"/>
      <w:contextualSpacing/>
    </w:pPr>
    <w:rPr>
      <w:rFonts w:ascii="Calibri" w:eastAsia="Calibri" w:hAnsi="Calibri"/>
      <w:sz w:val="22"/>
      <w:szCs w:val="22"/>
      <w:lang w:val="da-DK"/>
    </w:rPr>
  </w:style>
  <w:style w:type="paragraph" w:styleId="PlainText">
    <w:name w:val="Plain Text"/>
    <w:basedOn w:val="Normal"/>
    <w:link w:val="PlainTextChar"/>
    <w:uiPriority w:val="99"/>
    <w:unhideWhenUsed/>
    <w:rsid w:val="001B0457"/>
    <w:pPr>
      <w:spacing w:before="0"/>
    </w:pPr>
    <w:rPr>
      <w:rFonts w:ascii="Calibri" w:eastAsia="Calibri" w:hAnsi="Calibri"/>
      <w:sz w:val="22"/>
      <w:szCs w:val="21"/>
      <w:lang w:val="da-DK"/>
    </w:rPr>
  </w:style>
  <w:style w:type="character" w:customStyle="1" w:styleId="PlainTextChar">
    <w:name w:val="Plain Text Char"/>
    <w:basedOn w:val="DefaultParagraphFont"/>
    <w:link w:val="PlainText"/>
    <w:uiPriority w:val="99"/>
    <w:rsid w:val="001B0457"/>
    <w:rPr>
      <w:rFonts w:ascii="Calibri" w:eastAsia="Calibri" w:hAnsi="Calibri"/>
      <w:sz w:val="22"/>
      <w:szCs w:val="21"/>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26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mhattens@euronext.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546</Words>
  <Characters>3056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3595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4</cp:revision>
  <cp:lastPrinted>2009-03-10T11:18:00Z</cp:lastPrinted>
  <dcterms:created xsi:type="dcterms:W3CDTF">2022-12-20T13:54:00Z</dcterms:created>
  <dcterms:modified xsi:type="dcterms:W3CDTF">2022-12-20T13:56:00Z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ac0b9ce6-6e99-42a1-af95-429494370cbc_Enabled">
    <vt:lpwstr>true</vt:lpwstr>
  </property>
  <property fmtid="{D5CDD505-2E9C-101B-9397-08002B2CF9AE}" pid="10" name="MSIP_Label_ac0b9ce6-6e99-42a1-af95-429494370cbc_SetDate">
    <vt:lpwstr>2022-12-19T10:33:22Z</vt:lpwstr>
  </property>
  <property fmtid="{D5CDD505-2E9C-101B-9397-08002B2CF9AE}" pid="11" name="MSIP_Label_ac0b9ce6-6e99-42a1-af95-429494370cbc_Method">
    <vt:lpwstr>Standard</vt:lpwstr>
  </property>
  <property fmtid="{D5CDD505-2E9C-101B-9397-08002B2CF9AE}" pid="12" name="MSIP_Label_ac0b9ce6-6e99-42a1-af95-429494370cbc_Name">
    <vt:lpwstr>ac0b9ce6-6e99-42a1-af95-429494370cbc</vt:lpwstr>
  </property>
  <property fmtid="{D5CDD505-2E9C-101B-9397-08002B2CF9AE}" pid="13" name="MSIP_Label_ac0b9ce6-6e99-42a1-af95-429494370cbc_SiteId">
    <vt:lpwstr>315b1ee5-c224-498b-871e-c140611d6d07</vt:lpwstr>
  </property>
  <property fmtid="{D5CDD505-2E9C-101B-9397-08002B2CF9AE}" pid="14" name="MSIP_Label_ac0b9ce6-6e99-42a1-af95-429494370cbc_ActionId">
    <vt:lpwstr>5fc79245-a1d8-433c-90e7-6a628d79e545</vt:lpwstr>
  </property>
  <property fmtid="{D5CDD505-2E9C-101B-9397-08002B2CF9AE}" pid="15" name="MSIP_Label_ac0b9ce6-6e99-42a1-af95-429494370cbc_ContentBits">
    <vt:lpwstr>2</vt:lpwstr>
  </property>
</Properties>
</file>