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2932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0915A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03420E79" w14:textId="7F40194B" w:rsidR="00577BCC" w:rsidRDefault="00577BCC" w:rsidP="00865C2F">
      <w:pPr>
        <w:rPr>
          <w:i/>
          <w:szCs w:val="24"/>
          <w:lang w:val="en-GB"/>
        </w:rPr>
      </w:pPr>
    </w:p>
    <w:p w14:paraId="1831EAE9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4E0DB3E7" w14:textId="664B12D4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</w:p>
    <w:p w14:paraId="66A3DCC4" w14:textId="77777777" w:rsidR="0069576A" w:rsidRPr="0069576A" w:rsidRDefault="0069576A" w:rsidP="0069576A">
      <w:pPr>
        <w:rPr>
          <w:color w:val="4472C4"/>
          <w:szCs w:val="24"/>
          <w:lang w:val="en-GB"/>
        </w:rPr>
      </w:pPr>
      <w:r w:rsidRPr="0069576A">
        <w:rPr>
          <w:color w:val="4472C4"/>
          <w:szCs w:val="24"/>
          <w:lang w:val="en-GB"/>
        </w:rPr>
        <w:t>DESSUG CA – PSG (Deutsche SWIFT Securities Market User Group - Corporate Actions - Proxy Subgroup Germany)</w:t>
      </w:r>
    </w:p>
    <w:p w14:paraId="3759469C" w14:textId="77777777" w:rsidR="0069576A" w:rsidRPr="0069576A" w:rsidRDefault="0069576A" w:rsidP="0069576A">
      <w:pPr>
        <w:rPr>
          <w:color w:val="4472C4"/>
          <w:szCs w:val="24"/>
          <w:lang w:val="en-GB"/>
        </w:rPr>
      </w:pPr>
      <w:r w:rsidRPr="0069576A">
        <w:rPr>
          <w:color w:val="4472C4"/>
          <w:szCs w:val="24"/>
          <w:lang w:val="en-GB"/>
        </w:rPr>
        <w:t xml:space="preserve">This group represents more than 20 different institutions including domestic and global proxy providers and registrars with a key role in the German General Meeting process. </w:t>
      </w:r>
    </w:p>
    <w:p w14:paraId="4A4266C3" w14:textId="77777777" w:rsidR="0069576A" w:rsidRDefault="0069576A" w:rsidP="008438AF">
      <w:pPr>
        <w:rPr>
          <w:szCs w:val="24"/>
          <w:lang w:val="en-GB"/>
        </w:rPr>
      </w:pPr>
    </w:p>
    <w:p w14:paraId="1AA2C8C0" w14:textId="06712E53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14:paraId="2F0ACAFB" w14:textId="77777777" w:rsidR="00835756" w:rsidRDefault="00835756" w:rsidP="00835756">
      <w:pPr>
        <w:rPr>
          <w:color w:val="4472C4"/>
          <w:szCs w:val="24"/>
          <w:lang w:val="en-GB"/>
        </w:rPr>
      </w:pPr>
      <w:bookmarkStart w:id="0" w:name="_Hlk71718946"/>
      <w:r>
        <w:rPr>
          <w:color w:val="4472C4"/>
          <w:szCs w:val="24"/>
          <w:lang w:val="en-GB"/>
        </w:rPr>
        <w:t xml:space="preserve">PSG Chair - Hendrik Melchior (employer change to </w:t>
      </w:r>
      <w:proofErr w:type="spellStart"/>
      <w:r>
        <w:rPr>
          <w:color w:val="4472C4"/>
          <w:szCs w:val="24"/>
          <w:lang w:val="en-GB"/>
        </w:rPr>
        <w:t>Clearstream</w:t>
      </w:r>
      <w:proofErr w:type="spellEnd"/>
      <w:r>
        <w:rPr>
          <w:color w:val="4472C4"/>
          <w:szCs w:val="24"/>
          <w:lang w:val="en-GB"/>
        </w:rPr>
        <w:t xml:space="preserve"> Banking Frankfurt in July)</w:t>
      </w:r>
      <w:bookmarkEnd w:id="0"/>
    </w:p>
    <w:p w14:paraId="28915C8C" w14:textId="77777777" w:rsidR="00835756" w:rsidRDefault="00835756" w:rsidP="00835756">
      <w:pPr>
        <w:rPr>
          <w:color w:val="4472C4"/>
          <w:szCs w:val="24"/>
          <w:lang w:val="en-GB" w:eastAsia="en-AU"/>
        </w:rPr>
      </w:pPr>
      <w:r>
        <w:rPr>
          <w:color w:val="4472C4"/>
          <w:szCs w:val="24"/>
          <w:lang w:val="en-GB"/>
        </w:rPr>
        <w:t xml:space="preserve">PSG Deputy Chair - Daniel </w:t>
      </w:r>
      <w:proofErr w:type="spellStart"/>
      <w:r>
        <w:rPr>
          <w:color w:val="4472C4"/>
          <w:szCs w:val="24"/>
          <w:lang w:val="en-GB"/>
        </w:rPr>
        <w:t>Schäfer</w:t>
      </w:r>
      <w:proofErr w:type="spellEnd"/>
      <w:r>
        <w:rPr>
          <w:color w:val="4472C4"/>
          <w:szCs w:val="24"/>
          <w:lang w:val="en-GB"/>
        </w:rPr>
        <w:t xml:space="preserve">, </w:t>
      </w:r>
      <w:hyperlink r:id="rId10" w:history="1">
        <w:r>
          <w:rPr>
            <w:rStyle w:val="Hyperlink"/>
            <w:color w:val="4472C4"/>
            <w:szCs w:val="24"/>
            <w:lang w:val="en-GB" w:eastAsia="en-AU"/>
          </w:rPr>
          <w:t>Daniel.Schaefer@hsbc.de</w:t>
        </w:r>
      </w:hyperlink>
      <w:r>
        <w:rPr>
          <w:color w:val="4472C4"/>
          <w:szCs w:val="24"/>
          <w:lang w:val="en-GB" w:eastAsia="en-AU"/>
        </w:rPr>
        <w:t>, Phone +49 211 910-2362</w:t>
      </w:r>
    </w:p>
    <w:p w14:paraId="6B983395" w14:textId="77777777" w:rsidR="00835756" w:rsidRPr="00835756" w:rsidRDefault="00835756" w:rsidP="00835756">
      <w:pPr>
        <w:rPr>
          <w:color w:val="4472C4"/>
          <w:szCs w:val="24"/>
          <w:lang w:val="en-GB"/>
        </w:rPr>
      </w:pPr>
      <w:r w:rsidRPr="00835756">
        <w:rPr>
          <w:color w:val="4472C4"/>
          <w:szCs w:val="24"/>
          <w:lang w:val="en-GB"/>
        </w:rPr>
        <w:t xml:space="preserve">Sabine Wolff, </w:t>
      </w:r>
      <w:hyperlink r:id="rId11" w:history="1">
        <w:r w:rsidRPr="00835756">
          <w:rPr>
            <w:rStyle w:val="Hyperlink"/>
            <w:color w:val="4472C4"/>
            <w:szCs w:val="24"/>
            <w:lang w:val="en-GB" w:eastAsia="en-GB"/>
          </w:rPr>
          <w:t>Sabine.Wolff@clearstream.com</w:t>
        </w:r>
      </w:hyperlink>
      <w:r w:rsidRPr="00835756">
        <w:rPr>
          <w:color w:val="4472C4"/>
          <w:szCs w:val="24"/>
          <w:lang w:val="en-GB" w:eastAsia="en-GB"/>
        </w:rPr>
        <w:t>, Phone +352-243-3 66 40</w:t>
      </w:r>
    </w:p>
    <w:p w14:paraId="48FFDB55" w14:textId="77777777" w:rsidR="00835756" w:rsidRDefault="00835756" w:rsidP="00835756">
      <w:pPr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SEG GM-ET Member (Germany) - Sven </w:t>
      </w:r>
      <w:proofErr w:type="spellStart"/>
      <w:r>
        <w:rPr>
          <w:color w:val="4472C4"/>
          <w:szCs w:val="24"/>
          <w:lang w:val="en-GB"/>
        </w:rPr>
        <w:t>Gunkel</w:t>
      </w:r>
      <w:proofErr w:type="spellEnd"/>
      <w:r>
        <w:rPr>
          <w:color w:val="4472C4"/>
          <w:szCs w:val="24"/>
          <w:lang w:val="en-GB"/>
        </w:rPr>
        <w:t xml:space="preserve">, </w:t>
      </w:r>
      <w:hyperlink r:id="rId12" w:history="1">
        <w:r>
          <w:rPr>
            <w:rStyle w:val="Hyperlink"/>
            <w:color w:val="4472C4"/>
            <w:szCs w:val="24"/>
            <w:lang w:val="en-GB"/>
          </w:rPr>
          <w:t>sven-a.gunkel@db.com</w:t>
        </w:r>
      </w:hyperlink>
      <w:r>
        <w:rPr>
          <w:color w:val="4472C4"/>
          <w:szCs w:val="24"/>
          <w:lang w:val="en-GB"/>
        </w:rPr>
        <w:t>, Phone +49 69910-60715</w:t>
      </w:r>
    </w:p>
    <w:p w14:paraId="1A8E1DA1" w14:textId="77777777" w:rsidR="00835756" w:rsidRDefault="00835756" w:rsidP="00835756">
      <w:pPr>
        <w:rPr>
          <w:color w:val="4472C4"/>
          <w:szCs w:val="24"/>
          <w:lang w:val="en-GB"/>
        </w:rPr>
      </w:pPr>
      <w:r>
        <w:rPr>
          <w:color w:val="4472C4"/>
          <w:szCs w:val="24"/>
          <w:lang w:val="en-GB"/>
        </w:rPr>
        <w:t xml:space="preserve">SEG GM-ET Member (Germany) - Rainer Prior, </w:t>
      </w:r>
      <w:hyperlink r:id="rId13" w:history="1">
        <w:r>
          <w:rPr>
            <w:rStyle w:val="Hyperlink"/>
            <w:color w:val="4472C4"/>
            <w:szCs w:val="24"/>
            <w:lang w:val="en-GB"/>
          </w:rPr>
          <w:t>Rainer.Prior@linkmarketservices.de</w:t>
        </w:r>
      </w:hyperlink>
      <w:r>
        <w:rPr>
          <w:color w:val="4472C4"/>
          <w:szCs w:val="24"/>
          <w:lang w:val="en-GB"/>
        </w:rPr>
        <w:t>, Phone +49 6196 8870 514</w:t>
      </w:r>
    </w:p>
    <w:p w14:paraId="2529C948" w14:textId="77777777" w:rsidR="0069576A" w:rsidRPr="00E75ED0" w:rsidRDefault="0069576A" w:rsidP="008438AF">
      <w:pPr>
        <w:rPr>
          <w:szCs w:val="24"/>
          <w:lang w:val="en-GB"/>
        </w:rPr>
      </w:pPr>
    </w:p>
    <w:p w14:paraId="2A2EE9ED" w14:textId="02A089B2" w:rsidR="00577BCC" w:rsidRDefault="008438AF" w:rsidP="008438AF">
      <w:pPr>
        <w:rPr>
          <w:szCs w:val="24"/>
          <w:lang w:val="en-GB"/>
        </w:rPr>
      </w:pPr>
      <w:r w:rsidRPr="00E75ED0">
        <w:rPr>
          <w:i/>
          <w:szCs w:val="24"/>
          <w:lang w:val="en-GB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71E89015" w14:textId="77777777" w:rsidR="006C321E" w:rsidRDefault="006C321E" w:rsidP="006C321E">
      <w:pPr>
        <w:rPr>
          <w:color w:val="4472C4"/>
          <w:szCs w:val="24"/>
          <w:lang w:val="en-GB"/>
        </w:rPr>
      </w:pPr>
      <w:bookmarkStart w:id="1" w:name="_Hlk71719968"/>
      <w:r w:rsidRPr="006C321E">
        <w:rPr>
          <w:color w:val="4472C4"/>
          <w:szCs w:val="24"/>
          <w:lang w:val="en-GB"/>
        </w:rPr>
        <w:t xml:space="preserve">German Market </w:t>
      </w:r>
      <w:r>
        <w:rPr>
          <w:color w:val="4472C4"/>
          <w:szCs w:val="24"/>
          <w:lang w:val="en-GB"/>
        </w:rPr>
        <w:t>- including domestic and global proxy providers with a key role in the German General Meeting process.</w:t>
      </w:r>
    </w:p>
    <w:bookmarkEnd w:id="1"/>
    <w:p w14:paraId="3DA8FE1F" w14:textId="3CD4E8C6" w:rsidR="003123E2" w:rsidRDefault="00903AEE" w:rsidP="008438AF">
      <w:pPr>
        <w:rPr>
          <w:noProof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BC1BF67" wp14:editId="15B0DB2C">
            <wp:extent cx="5701665" cy="323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3B07" w14:textId="77777777" w:rsidR="006C321E" w:rsidRDefault="006C321E" w:rsidP="008438AF">
      <w:pPr>
        <w:rPr>
          <w:szCs w:val="24"/>
          <w:lang w:val="en-GB"/>
        </w:rPr>
      </w:pPr>
    </w:p>
    <w:p w14:paraId="1729AEDA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44DF58E3" w14:textId="206E51CF" w:rsidR="00F87B06" w:rsidRPr="0069576A" w:rsidRDefault="00197F19" w:rsidP="00854FA6">
      <w:pPr>
        <w:rPr>
          <w:color w:val="4472C4" w:themeColor="accent1"/>
          <w:szCs w:val="24"/>
          <w:lang w:val="en-GB"/>
        </w:rPr>
      </w:pPr>
      <w:r w:rsidRPr="0069576A">
        <w:rPr>
          <w:color w:val="4472C4" w:themeColor="accent1"/>
          <w:szCs w:val="24"/>
          <w:lang w:val="en-GB"/>
        </w:rPr>
        <w:t>seev.001.xxx.xxx</w:t>
      </w:r>
    </w:p>
    <w:p w14:paraId="4761D268" w14:textId="77777777" w:rsidR="00F87B06" w:rsidRPr="00451986" w:rsidRDefault="00F87B06" w:rsidP="00854FA6">
      <w:pPr>
        <w:rPr>
          <w:b/>
          <w:lang w:val="en-GB"/>
        </w:rPr>
      </w:pPr>
    </w:p>
    <w:p w14:paraId="0ED1C6BC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74F68CBE" w14:textId="6533C3A2" w:rsidR="00FC478C" w:rsidRPr="007A7815" w:rsidRDefault="00FC478C" w:rsidP="00FC478C">
      <w:pPr>
        <w:rPr>
          <w:color w:val="4472C4" w:themeColor="accent1"/>
          <w:szCs w:val="24"/>
          <w:lang w:val="en-GB"/>
        </w:rPr>
      </w:pPr>
      <w:r w:rsidRPr="007A7815">
        <w:rPr>
          <w:color w:val="4472C4" w:themeColor="accent1"/>
          <w:szCs w:val="24"/>
          <w:lang w:val="en-GB"/>
        </w:rPr>
        <w:t xml:space="preserve">Necessity of </w:t>
      </w:r>
      <w:r w:rsidR="007A7815">
        <w:rPr>
          <w:color w:val="4472C4" w:themeColor="accent1"/>
          <w:szCs w:val="24"/>
          <w:lang w:val="en-GB"/>
        </w:rPr>
        <w:t>specific</w:t>
      </w:r>
      <w:r w:rsidRPr="007A7815">
        <w:rPr>
          <w:color w:val="4472C4" w:themeColor="accent1"/>
          <w:szCs w:val="24"/>
          <w:lang w:val="en-GB"/>
        </w:rPr>
        <w:t xml:space="preserve"> confirmation of holding &lt;</w:t>
      </w:r>
      <w:bookmarkStart w:id="2" w:name="_Hlk71721485"/>
      <w:proofErr w:type="spellStart"/>
      <w:r w:rsidR="00427743" w:rsidRPr="007A7815">
        <w:rPr>
          <w:color w:val="4472C4" w:themeColor="accent1"/>
          <w:szCs w:val="24"/>
          <w:lang w:val="en-GB"/>
        </w:rPr>
        <w:t>Nec</w:t>
      </w:r>
      <w:r w:rsidR="00427743">
        <w:rPr>
          <w:color w:val="4472C4" w:themeColor="accent1"/>
          <w:szCs w:val="24"/>
          <w:lang w:val="en-GB"/>
        </w:rPr>
        <w:t>Spe</w:t>
      </w:r>
      <w:r w:rsidR="00427743" w:rsidRPr="007A7815">
        <w:rPr>
          <w:color w:val="4472C4" w:themeColor="accent1"/>
          <w:szCs w:val="24"/>
          <w:lang w:val="en-GB"/>
        </w:rPr>
        <w:t>ConfHold</w:t>
      </w:r>
      <w:bookmarkEnd w:id="2"/>
      <w:proofErr w:type="spellEnd"/>
      <w:r w:rsidRPr="007A7815">
        <w:rPr>
          <w:color w:val="4472C4" w:themeColor="accent1"/>
          <w:szCs w:val="24"/>
          <w:lang w:val="en-GB"/>
        </w:rPr>
        <w:t xml:space="preserve">&gt; </w:t>
      </w:r>
    </w:p>
    <w:p w14:paraId="62AD7D0B" w14:textId="00501A16" w:rsidR="00FC478C" w:rsidRPr="007A7815" w:rsidRDefault="007A7815" w:rsidP="00FC478C">
      <w:pPr>
        <w:rPr>
          <w:color w:val="4472C4" w:themeColor="accent1"/>
          <w:szCs w:val="24"/>
          <w:lang w:val="en-GB"/>
        </w:rPr>
      </w:pPr>
      <w:r>
        <w:rPr>
          <w:color w:val="4472C4" w:themeColor="accent1"/>
          <w:szCs w:val="24"/>
          <w:lang w:val="en-GB"/>
        </w:rPr>
        <w:t>Multiplicity</w:t>
      </w:r>
      <w:r w:rsidR="00FC478C" w:rsidRPr="007A7815">
        <w:rPr>
          <w:color w:val="4472C4" w:themeColor="accent1"/>
          <w:szCs w:val="24"/>
          <w:lang w:val="en-GB"/>
        </w:rPr>
        <w:t>: optional</w:t>
      </w:r>
      <w:r>
        <w:rPr>
          <w:color w:val="4472C4" w:themeColor="accent1"/>
          <w:szCs w:val="24"/>
          <w:lang w:val="en-GB"/>
        </w:rPr>
        <w:t xml:space="preserve"> [0</w:t>
      </w:r>
      <w:proofErr w:type="gramStart"/>
      <w:r>
        <w:rPr>
          <w:color w:val="4472C4" w:themeColor="accent1"/>
          <w:szCs w:val="24"/>
          <w:lang w:val="en-GB"/>
        </w:rPr>
        <w:t>..1</w:t>
      </w:r>
      <w:proofErr w:type="gramEnd"/>
      <w:r>
        <w:rPr>
          <w:color w:val="4472C4" w:themeColor="accent1"/>
          <w:szCs w:val="24"/>
          <w:lang w:val="en-GB"/>
        </w:rPr>
        <w:t>]</w:t>
      </w:r>
    </w:p>
    <w:p w14:paraId="3CB7708D" w14:textId="77777777" w:rsidR="006A5048" w:rsidRDefault="00FC478C" w:rsidP="006A5048">
      <w:pPr>
        <w:rPr>
          <w:color w:val="4472C4" w:themeColor="accent1"/>
          <w:szCs w:val="24"/>
          <w:lang w:val="en-GB"/>
        </w:rPr>
      </w:pPr>
      <w:r w:rsidRPr="007A7815">
        <w:rPr>
          <w:color w:val="4472C4" w:themeColor="accent1"/>
          <w:szCs w:val="24"/>
          <w:lang w:val="en-GB"/>
        </w:rPr>
        <w:t>Value: blank or Yes</w:t>
      </w:r>
    </w:p>
    <w:p w14:paraId="354F5AE0" w14:textId="344C2A82" w:rsidR="006A5048" w:rsidRPr="006A5048" w:rsidRDefault="006A5048" w:rsidP="006A5048">
      <w:pPr>
        <w:rPr>
          <w:color w:val="4472C4" w:themeColor="accent1"/>
          <w:szCs w:val="24"/>
          <w:lang w:val="en-GB"/>
        </w:rPr>
      </w:pPr>
      <w:r w:rsidRPr="006A5048">
        <w:rPr>
          <w:color w:val="4472C4"/>
        </w:rPr>
        <w:t xml:space="preserve">Path: </w:t>
      </w:r>
      <w:r w:rsidRPr="006A5048">
        <w:rPr>
          <w:color w:val="4472C4"/>
          <w:szCs w:val="24"/>
        </w:rPr>
        <w:t>/Document/</w:t>
      </w:r>
      <w:proofErr w:type="spellStart"/>
      <w:r w:rsidRPr="006A5048">
        <w:rPr>
          <w:color w:val="4472C4"/>
          <w:szCs w:val="24"/>
        </w:rPr>
        <w:t>MtgNtfctn</w:t>
      </w:r>
      <w:proofErr w:type="spellEnd"/>
      <w:r w:rsidRPr="006A5048">
        <w:rPr>
          <w:color w:val="4472C4"/>
          <w:szCs w:val="24"/>
        </w:rPr>
        <w:t>/</w:t>
      </w:r>
      <w:proofErr w:type="spellStart"/>
      <w:r w:rsidRPr="006A5048">
        <w:rPr>
          <w:color w:val="4472C4"/>
          <w:szCs w:val="24"/>
        </w:rPr>
        <w:t>NtfctnGnlInf</w:t>
      </w:r>
      <w:proofErr w:type="spellEnd"/>
      <w:r w:rsidRPr="006A5048">
        <w:rPr>
          <w:color w:val="4472C4"/>
        </w:rPr>
        <w:t>/</w:t>
      </w:r>
      <w:proofErr w:type="spellStart"/>
      <w:r w:rsidR="00427743" w:rsidRPr="006A5048">
        <w:rPr>
          <w:color w:val="4472C4"/>
          <w:szCs w:val="24"/>
          <w:lang w:val="en-GB"/>
        </w:rPr>
        <w:t>Nec</w:t>
      </w:r>
      <w:r w:rsidR="00427743">
        <w:rPr>
          <w:color w:val="4472C4"/>
          <w:szCs w:val="24"/>
          <w:lang w:val="en-GB"/>
        </w:rPr>
        <w:t>Spe</w:t>
      </w:r>
      <w:r w:rsidR="00427743" w:rsidRPr="006A5048">
        <w:rPr>
          <w:color w:val="4472C4"/>
          <w:szCs w:val="24"/>
          <w:lang w:val="en-GB"/>
        </w:rPr>
        <w:t>ConfHold</w:t>
      </w:r>
      <w:proofErr w:type="spellEnd"/>
    </w:p>
    <w:p w14:paraId="1D97CCA1" w14:textId="69079065" w:rsidR="00FC478C" w:rsidRPr="007A7815" w:rsidRDefault="00FC478C" w:rsidP="00FC478C">
      <w:pPr>
        <w:rPr>
          <w:color w:val="4472C4" w:themeColor="accent1"/>
          <w:szCs w:val="24"/>
          <w:lang w:val="en-GB"/>
        </w:rPr>
      </w:pPr>
      <w:r w:rsidRPr="007A7815">
        <w:rPr>
          <w:color w:val="4472C4" w:themeColor="accent1"/>
          <w:szCs w:val="24"/>
          <w:lang w:val="en-GB"/>
        </w:rPr>
        <w:t xml:space="preserve">Description: </w:t>
      </w:r>
      <w:r w:rsidR="007A7815" w:rsidRPr="007A7815">
        <w:rPr>
          <w:color w:val="4472C4" w:themeColor="accent1"/>
          <w:szCs w:val="24"/>
          <w:lang w:val="en-GB"/>
        </w:rPr>
        <w:t>Indicates whether a specific confirmation of holding</w:t>
      </w:r>
      <w:r w:rsidRPr="007A7815">
        <w:rPr>
          <w:color w:val="4472C4" w:themeColor="accent1"/>
          <w:szCs w:val="24"/>
          <w:lang w:val="en-GB"/>
        </w:rPr>
        <w:t xml:space="preserve"> together with a participation/ vote instruction</w:t>
      </w:r>
      <w:r w:rsidR="007A7815" w:rsidRPr="007A7815">
        <w:rPr>
          <w:color w:val="4472C4" w:themeColor="accent1"/>
          <w:szCs w:val="24"/>
          <w:lang w:val="en-GB"/>
        </w:rPr>
        <w:t xml:space="preserve"> is required. </w:t>
      </w:r>
      <w:r w:rsidR="006A5048">
        <w:rPr>
          <w:color w:val="4472C4" w:themeColor="accent1"/>
          <w:szCs w:val="24"/>
          <w:lang w:val="en-GB"/>
        </w:rPr>
        <w:t>(</w:t>
      </w:r>
      <w:proofErr w:type="gramStart"/>
      <w:r w:rsidR="00427743">
        <w:rPr>
          <w:color w:val="4472C4" w:themeColor="accent1"/>
          <w:szCs w:val="24"/>
          <w:lang w:val="en-GB"/>
        </w:rPr>
        <w:t>e.g</w:t>
      </w:r>
      <w:proofErr w:type="gramEnd"/>
      <w:r w:rsidR="006A5048">
        <w:rPr>
          <w:color w:val="4472C4" w:themeColor="accent1"/>
          <w:szCs w:val="24"/>
          <w:lang w:val="en-GB"/>
        </w:rPr>
        <w:t>. Germany §67c(3))</w:t>
      </w:r>
    </w:p>
    <w:p w14:paraId="5E0D1B90" w14:textId="4F713AE0" w:rsidR="00FC478C" w:rsidRDefault="00FC478C" w:rsidP="00486420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43CC078F" w14:textId="77777777" w:rsidR="006A5048" w:rsidRDefault="006A5048" w:rsidP="00486420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195B8BD5" w14:textId="37E7488B" w:rsidR="00486420" w:rsidRPr="0069576A" w:rsidRDefault="00644606" w:rsidP="00486420">
      <w:pPr>
        <w:pStyle w:val="Default"/>
        <w:rPr>
          <w:rFonts w:ascii="Times New Roman" w:hAnsi="Times New Roman" w:cs="Times New Roman"/>
          <w:color w:val="4472C4" w:themeColor="accent1"/>
        </w:rPr>
      </w:pPr>
      <w:r w:rsidRPr="0069576A">
        <w:rPr>
          <w:rFonts w:ascii="Times New Roman" w:hAnsi="Times New Roman" w:cs="Times New Roman"/>
          <w:color w:val="4472C4" w:themeColor="accent1"/>
        </w:rPr>
        <w:t xml:space="preserve">The </w:t>
      </w:r>
      <w:r w:rsidR="00943562" w:rsidRPr="0069576A">
        <w:rPr>
          <w:rFonts w:ascii="Times New Roman" w:hAnsi="Times New Roman" w:cs="Times New Roman"/>
          <w:color w:val="4472C4" w:themeColor="accent1"/>
        </w:rPr>
        <w:t xml:space="preserve">German Stock Corporation Act </w:t>
      </w:r>
      <w:proofErr w:type="gramStart"/>
      <w:r w:rsidR="00943562" w:rsidRPr="0069576A">
        <w:rPr>
          <w:rFonts w:ascii="Times New Roman" w:hAnsi="Times New Roman" w:cs="Times New Roman"/>
          <w:color w:val="4472C4" w:themeColor="accent1"/>
        </w:rPr>
        <w:t>was adopted</w:t>
      </w:r>
      <w:proofErr w:type="gramEnd"/>
      <w:r w:rsidR="00943562" w:rsidRPr="0069576A">
        <w:rPr>
          <w:rFonts w:ascii="Times New Roman" w:hAnsi="Times New Roman" w:cs="Times New Roman"/>
          <w:color w:val="4472C4" w:themeColor="accent1"/>
        </w:rPr>
        <w:t xml:space="preserve"> to include SRD II requirements. This includes the update of paragraph 67c</w:t>
      </w:r>
      <w:r w:rsidR="00486420" w:rsidRPr="0069576A">
        <w:rPr>
          <w:rFonts w:ascii="Times New Roman" w:hAnsi="Times New Roman" w:cs="Times New Roman"/>
          <w:color w:val="4472C4" w:themeColor="accent1"/>
        </w:rPr>
        <w:t xml:space="preserve"> Section3</w:t>
      </w:r>
      <w:r w:rsidR="00943562" w:rsidRPr="0069576A">
        <w:rPr>
          <w:rFonts w:ascii="Times New Roman" w:hAnsi="Times New Roman" w:cs="Times New Roman"/>
          <w:color w:val="4472C4" w:themeColor="accent1"/>
        </w:rPr>
        <w:t xml:space="preserve"> </w:t>
      </w:r>
      <w:r w:rsidR="00486420" w:rsidRPr="0069576A">
        <w:rPr>
          <w:rFonts w:ascii="Times New Roman" w:hAnsi="Times New Roman" w:cs="Times New Roman"/>
          <w:color w:val="4472C4" w:themeColor="accent1"/>
        </w:rPr>
        <w:t xml:space="preserve">referring to </w:t>
      </w:r>
      <w:r w:rsidR="00943562" w:rsidRPr="0069576A">
        <w:rPr>
          <w:rFonts w:ascii="Times New Roman" w:hAnsi="Times New Roman" w:cs="Times New Roman"/>
          <w:color w:val="4472C4" w:themeColor="accent1"/>
        </w:rPr>
        <w:t>Confirmation of Holding</w:t>
      </w:r>
      <w:r w:rsidR="00486420" w:rsidRPr="0069576A">
        <w:rPr>
          <w:rFonts w:ascii="Times New Roman" w:hAnsi="Times New Roman" w:cs="Times New Roman"/>
          <w:color w:val="4472C4" w:themeColor="accent1"/>
        </w:rPr>
        <w:t xml:space="preserve"> in line with Article 5 of the Implementation </w:t>
      </w:r>
      <w:proofErr w:type="gramStart"/>
      <w:r w:rsidR="00486420" w:rsidRPr="0069576A">
        <w:rPr>
          <w:rFonts w:ascii="Times New Roman" w:hAnsi="Times New Roman" w:cs="Times New Roman"/>
          <w:color w:val="4472C4" w:themeColor="accent1"/>
        </w:rPr>
        <w:t>Regulation  (</w:t>
      </w:r>
      <w:proofErr w:type="gramEnd"/>
      <w:r w:rsidR="00486420" w:rsidRPr="0069576A">
        <w:rPr>
          <w:rFonts w:ascii="Times New Roman" w:hAnsi="Times New Roman" w:cs="Times New Roman"/>
          <w:color w:val="4472C4" w:themeColor="accent1"/>
        </w:rPr>
        <w:t>EU) 2018/1212.</w:t>
      </w:r>
      <w:r w:rsidR="00943562" w:rsidRPr="0069576A">
        <w:rPr>
          <w:rFonts w:ascii="Times New Roman" w:hAnsi="Times New Roman" w:cs="Times New Roman"/>
          <w:color w:val="4472C4" w:themeColor="accent1"/>
        </w:rPr>
        <w:t xml:space="preserve"> </w:t>
      </w:r>
    </w:p>
    <w:p w14:paraId="4AC9A5CA" w14:textId="7FDFF281" w:rsidR="00486420" w:rsidRPr="0069576A" w:rsidRDefault="00486420" w:rsidP="00486420">
      <w:pPr>
        <w:pStyle w:val="Default"/>
        <w:rPr>
          <w:rFonts w:ascii="Times New Roman" w:hAnsi="Times New Roman" w:cs="Times New Roman"/>
          <w:color w:val="4472C4" w:themeColor="accent1"/>
        </w:rPr>
      </w:pPr>
      <w:r w:rsidRPr="0069576A">
        <w:rPr>
          <w:rFonts w:ascii="Times New Roman" w:hAnsi="Times New Roman" w:cs="Times New Roman"/>
          <w:color w:val="4472C4" w:themeColor="accent1"/>
        </w:rPr>
        <w:t xml:space="preserve">The Implementing Regulation assumes that a confirmation of entitlement and, where applicable, a notice of participation in the general will enable shareholders to exercise their rights at the general meeting. </w:t>
      </w:r>
    </w:p>
    <w:p w14:paraId="4D674BE1" w14:textId="52A71F14" w:rsidR="00486420" w:rsidRPr="0069576A" w:rsidRDefault="00486420" w:rsidP="00486420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6A0FB210" w14:textId="7FAB9125" w:rsidR="00644606" w:rsidRPr="0069576A" w:rsidRDefault="00486420" w:rsidP="00644606">
      <w:pPr>
        <w:pStyle w:val="Default"/>
        <w:rPr>
          <w:rFonts w:ascii="Times New Roman" w:hAnsi="Times New Roman" w:cs="Times New Roman"/>
          <w:color w:val="4472C4" w:themeColor="accent1"/>
        </w:rPr>
      </w:pPr>
      <w:r w:rsidRPr="0069576A">
        <w:rPr>
          <w:rFonts w:ascii="Times New Roman" w:hAnsi="Times New Roman" w:cs="Times New Roman"/>
          <w:color w:val="4472C4" w:themeColor="accent1"/>
        </w:rPr>
        <w:t xml:space="preserve">The requirement to provide such a confirmation is part of the </w:t>
      </w:r>
      <w:proofErr w:type="spellStart"/>
      <w:r w:rsidRPr="0069576A">
        <w:rPr>
          <w:rFonts w:ascii="Times New Roman" w:hAnsi="Times New Roman" w:cs="Times New Roman"/>
          <w:color w:val="4472C4" w:themeColor="accent1"/>
        </w:rPr>
        <w:t>AoA</w:t>
      </w:r>
      <w:proofErr w:type="spellEnd"/>
      <w:r w:rsidR="00197F19" w:rsidRPr="0069576A">
        <w:rPr>
          <w:rFonts w:ascii="Times New Roman" w:hAnsi="Times New Roman" w:cs="Times New Roman"/>
          <w:color w:val="4472C4" w:themeColor="accent1"/>
        </w:rPr>
        <w:t xml:space="preserve"> (Articles of Association)</w:t>
      </w:r>
      <w:r w:rsidRPr="0069576A">
        <w:rPr>
          <w:rFonts w:ascii="Times New Roman" w:hAnsi="Times New Roman" w:cs="Times New Roman"/>
          <w:color w:val="4472C4" w:themeColor="accent1"/>
        </w:rPr>
        <w:t xml:space="preserve"> of the company and usually announced in the convocation </w:t>
      </w:r>
      <w:r w:rsidR="00644606" w:rsidRPr="0069576A">
        <w:rPr>
          <w:rFonts w:ascii="Times New Roman" w:hAnsi="Times New Roman" w:cs="Times New Roman"/>
          <w:color w:val="4472C4" w:themeColor="accent1"/>
        </w:rPr>
        <w:t>of</w:t>
      </w:r>
      <w:r w:rsidRPr="0069576A">
        <w:rPr>
          <w:rFonts w:ascii="Times New Roman" w:hAnsi="Times New Roman" w:cs="Times New Roman"/>
          <w:color w:val="4472C4" w:themeColor="accent1"/>
        </w:rPr>
        <w:t xml:space="preserve"> the meeting. Th</w:t>
      </w:r>
      <w:r w:rsidR="00644606" w:rsidRPr="0069576A">
        <w:rPr>
          <w:rFonts w:ascii="Times New Roman" w:hAnsi="Times New Roman" w:cs="Times New Roman"/>
          <w:color w:val="4472C4" w:themeColor="accent1"/>
        </w:rPr>
        <w:t>is</w:t>
      </w:r>
      <w:r w:rsidRPr="0069576A">
        <w:rPr>
          <w:rFonts w:ascii="Times New Roman" w:hAnsi="Times New Roman" w:cs="Times New Roman"/>
          <w:color w:val="4472C4" w:themeColor="accent1"/>
        </w:rPr>
        <w:t xml:space="preserve"> confirmation is a prerequisite to </w:t>
      </w:r>
      <w:r w:rsidR="00644606" w:rsidRPr="0069576A">
        <w:rPr>
          <w:rFonts w:ascii="Times New Roman" w:hAnsi="Times New Roman" w:cs="Times New Roman"/>
          <w:color w:val="4472C4" w:themeColor="accent1"/>
        </w:rPr>
        <w:t xml:space="preserve">participate and vote and needs to </w:t>
      </w:r>
      <w:proofErr w:type="gramStart"/>
      <w:r w:rsidR="00644606" w:rsidRPr="0069576A">
        <w:rPr>
          <w:rFonts w:ascii="Times New Roman" w:hAnsi="Times New Roman" w:cs="Times New Roman"/>
          <w:color w:val="4472C4" w:themeColor="accent1"/>
        </w:rPr>
        <w:t>be provided</w:t>
      </w:r>
      <w:proofErr w:type="gramEnd"/>
      <w:r w:rsidR="00644606" w:rsidRPr="0069576A">
        <w:rPr>
          <w:rFonts w:ascii="Times New Roman" w:hAnsi="Times New Roman" w:cs="Times New Roman"/>
          <w:color w:val="4472C4" w:themeColor="accent1"/>
        </w:rPr>
        <w:t xml:space="preserve"> to the issuer/agent/registrar together with the participation/vote instruction. In case is not provided, instructions will not </w:t>
      </w:r>
      <w:r w:rsidR="00644606" w:rsidRPr="0069576A">
        <w:rPr>
          <w:rFonts w:ascii="Times New Roman" w:hAnsi="Times New Roman" w:cs="Times New Roman"/>
          <w:color w:val="4472C4" w:themeColor="accent1"/>
        </w:rPr>
        <w:lastRenderedPageBreak/>
        <w:t>be processed.</w:t>
      </w:r>
      <w:r w:rsidR="00644606" w:rsidRPr="0069576A">
        <w:rPr>
          <w:rFonts w:ascii="Times New Roman" w:hAnsi="Times New Roman" w:cs="Times New Roman"/>
          <w:color w:val="4472C4" w:themeColor="accent1"/>
        </w:rPr>
        <w:br/>
      </w:r>
    </w:p>
    <w:p w14:paraId="7C0C710A" w14:textId="3E34F6F0" w:rsidR="00943562" w:rsidRDefault="00644606" w:rsidP="00644606">
      <w:pPr>
        <w:pStyle w:val="Default"/>
        <w:rPr>
          <w:rFonts w:ascii="Times New Roman" w:hAnsi="Times New Roman" w:cs="Times New Roman"/>
          <w:color w:val="4472C4" w:themeColor="accent1"/>
        </w:rPr>
      </w:pPr>
      <w:r w:rsidRPr="0069576A">
        <w:rPr>
          <w:rFonts w:ascii="Times New Roman" w:hAnsi="Times New Roman" w:cs="Times New Roman"/>
          <w:color w:val="4472C4" w:themeColor="accent1"/>
        </w:rPr>
        <w:t xml:space="preserve">This is not a general rule to the German market </w:t>
      </w:r>
      <w:r w:rsidR="007A7815">
        <w:rPr>
          <w:rFonts w:ascii="Times New Roman" w:hAnsi="Times New Roman" w:cs="Times New Roman"/>
          <w:color w:val="4472C4" w:themeColor="accent1"/>
        </w:rPr>
        <w:t xml:space="preserve">nor limited to SRD II relevant securities </w:t>
      </w:r>
      <w:r w:rsidRPr="0069576A">
        <w:rPr>
          <w:rFonts w:ascii="Times New Roman" w:hAnsi="Times New Roman" w:cs="Times New Roman"/>
          <w:color w:val="4472C4" w:themeColor="accent1"/>
        </w:rPr>
        <w:t xml:space="preserve">and therefore needs to </w:t>
      </w:r>
      <w:proofErr w:type="gramStart"/>
      <w:r w:rsidRPr="0069576A">
        <w:rPr>
          <w:rFonts w:ascii="Times New Roman" w:hAnsi="Times New Roman" w:cs="Times New Roman"/>
          <w:color w:val="4472C4" w:themeColor="accent1"/>
        </w:rPr>
        <w:t>be captured</w:t>
      </w:r>
      <w:proofErr w:type="gramEnd"/>
      <w:r w:rsidRPr="0069576A">
        <w:rPr>
          <w:rFonts w:ascii="Times New Roman" w:hAnsi="Times New Roman" w:cs="Times New Roman"/>
          <w:color w:val="4472C4" w:themeColor="accent1"/>
        </w:rPr>
        <w:t xml:space="preserve"> case by case in the meeting notification. </w:t>
      </w:r>
    </w:p>
    <w:p w14:paraId="10F23D91" w14:textId="098A4B5B" w:rsidR="006A5048" w:rsidRDefault="006A5048" w:rsidP="00644606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197996D0" w14:textId="77777777" w:rsidR="006A5048" w:rsidRDefault="006A5048" w:rsidP="00644606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035B566A" w14:textId="77777777" w:rsidR="006A5048" w:rsidRDefault="006A5048" w:rsidP="00644606">
      <w:pPr>
        <w:pStyle w:val="Default"/>
        <w:rPr>
          <w:rFonts w:ascii="Times New Roman" w:hAnsi="Times New Roman" w:cs="Times New Roman"/>
          <w:color w:val="4472C4" w:themeColor="accent1"/>
        </w:rPr>
      </w:pPr>
    </w:p>
    <w:p w14:paraId="2AA0C9BF" w14:textId="763F6612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0DF9FC9B" w14:textId="77777777" w:rsidR="007A7815" w:rsidRDefault="00644606" w:rsidP="00865C2F">
      <w:pPr>
        <w:rPr>
          <w:color w:val="4472C4"/>
          <w:szCs w:val="24"/>
          <w:lang w:val="en-GB"/>
        </w:rPr>
      </w:pPr>
      <w:r w:rsidRPr="007A7815">
        <w:rPr>
          <w:color w:val="4472C4" w:themeColor="accent1"/>
        </w:rPr>
        <w:t>This is a regulatory requirement for the German market</w:t>
      </w:r>
      <w:r w:rsidR="007A7815">
        <w:rPr>
          <w:color w:val="4472C4" w:themeColor="accent1"/>
        </w:rPr>
        <w:t xml:space="preserve"> to </w:t>
      </w:r>
      <w:r w:rsidR="007A7815">
        <w:rPr>
          <w:color w:val="4472C4"/>
          <w:szCs w:val="24"/>
          <w:lang w:val="en-GB"/>
        </w:rPr>
        <w:t>i</w:t>
      </w:r>
      <w:r w:rsidR="007A7815" w:rsidRPr="007A7815">
        <w:rPr>
          <w:color w:val="4472C4"/>
          <w:szCs w:val="24"/>
          <w:lang w:val="en-GB"/>
        </w:rPr>
        <w:t xml:space="preserve">ndicate </w:t>
      </w:r>
      <w:r w:rsidR="007A7815">
        <w:rPr>
          <w:color w:val="4472C4"/>
          <w:szCs w:val="24"/>
          <w:lang w:val="en-GB"/>
        </w:rPr>
        <w:t>if</w:t>
      </w:r>
      <w:r w:rsidR="007A7815" w:rsidRPr="007A7815">
        <w:rPr>
          <w:color w:val="4472C4"/>
          <w:szCs w:val="24"/>
          <w:lang w:val="en-GB"/>
        </w:rPr>
        <w:t xml:space="preserve"> </w:t>
      </w:r>
      <w:r w:rsidR="007A7815">
        <w:rPr>
          <w:color w:val="4472C4"/>
          <w:szCs w:val="24"/>
          <w:lang w:val="en-GB"/>
        </w:rPr>
        <w:t>the</w:t>
      </w:r>
      <w:r w:rsidR="007A7815" w:rsidRPr="007A7815">
        <w:rPr>
          <w:color w:val="4472C4"/>
          <w:szCs w:val="24"/>
          <w:lang w:val="en-GB"/>
        </w:rPr>
        <w:t xml:space="preserve"> specific confirmation of holding together with a participation/ vote instruction is required</w:t>
      </w:r>
      <w:r w:rsidR="007A7815">
        <w:rPr>
          <w:color w:val="4472C4"/>
          <w:szCs w:val="24"/>
          <w:lang w:val="en-GB"/>
        </w:rPr>
        <w:t xml:space="preserve">. </w:t>
      </w:r>
    </w:p>
    <w:p w14:paraId="5567EF72" w14:textId="168BD869" w:rsidR="00E92C21" w:rsidRPr="007A7815" w:rsidRDefault="007A7815" w:rsidP="00865C2F">
      <w:pPr>
        <w:rPr>
          <w:color w:val="4472C4" w:themeColor="accent1"/>
        </w:rPr>
      </w:pPr>
      <w:r>
        <w:rPr>
          <w:color w:val="4472C4"/>
          <w:szCs w:val="24"/>
          <w:lang w:val="en-GB"/>
        </w:rPr>
        <w:t xml:space="preserve">The </w:t>
      </w:r>
      <w:proofErr w:type="gramStart"/>
      <w:r>
        <w:rPr>
          <w:color w:val="4472C4"/>
          <w:szCs w:val="24"/>
          <w:lang w:val="en-GB"/>
        </w:rPr>
        <w:t>field should be populated by the issuer</w:t>
      </w:r>
      <w:proofErr w:type="gramEnd"/>
      <w:r>
        <w:rPr>
          <w:color w:val="4472C4"/>
          <w:szCs w:val="24"/>
          <w:lang w:val="en-GB"/>
        </w:rPr>
        <w:t xml:space="preserve">. </w:t>
      </w:r>
    </w:p>
    <w:p w14:paraId="07CB9577" w14:textId="689B583E" w:rsidR="00644606" w:rsidRDefault="00644606" w:rsidP="00865C2F"/>
    <w:p w14:paraId="2A952295" w14:textId="77777777" w:rsidR="006A5048" w:rsidRDefault="006A5048" w:rsidP="00865C2F"/>
    <w:p w14:paraId="0F59DCDB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76EB4C1" w14:textId="77777777" w:rsidR="00A54478" w:rsidRPr="007A7815" w:rsidRDefault="00A54478" w:rsidP="00F34C66">
      <w:pPr>
        <w:rPr>
          <w:iCs/>
          <w:color w:val="4472C4" w:themeColor="accent1"/>
          <w:szCs w:val="24"/>
          <w:lang w:val="en-GB"/>
        </w:rPr>
      </w:pPr>
      <w:r w:rsidRPr="007A7815">
        <w:rPr>
          <w:iCs/>
          <w:color w:val="4472C4" w:themeColor="accent1"/>
          <w:szCs w:val="24"/>
          <w:lang w:val="en-GB"/>
        </w:rPr>
        <w:t>N/A</w:t>
      </w:r>
    </w:p>
    <w:p w14:paraId="160FCFD2" w14:textId="77777777" w:rsidR="006A5048" w:rsidRPr="0085530C" w:rsidRDefault="006A5048" w:rsidP="00F34C66">
      <w:pPr>
        <w:rPr>
          <w:i/>
          <w:szCs w:val="24"/>
          <w:lang w:val="en-GB"/>
        </w:rPr>
      </w:pPr>
    </w:p>
    <w:p w14:paraId="7EFD073D" w14:textId="69EB9BA0" w:rsidR="00783891" w:rsidRPr="007A7815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7B0E860" w14:textId="526DB513" w:rsidR="007A7815" w:rsidRPr="00C00FB5" w:rsidRDefault="007A7815" w:rsidP="007A7815">
      <w:pPr>
        <w:rPr>
          <w:noProof/>
          <w:szCs w:val="24"/>
        </w:rPr>
      </w:pPr>
      <w:r w:rsidRPr="00C00FB5">
        <w:rPr>
          <w:noProof/>
          <w:szCs w:val="24"/>
        </w:rPr>
        <w:t>…</w:t>
      </w:r>
    </w:p>
    <w:p w14:paraId="29EDDBE7" w14:textId="28060345" w:rsidR="007A7815" w:rsidRPr="00C00FB5" w:rsidRDefault="007A7815" w:rsidP="007A7815">
      <w:pPr>
        <w:rPr>
          <w:color w:val="4472C4" w:themeColor="accent1"/>
          <w:szCs w:val="24"/>
          <w:lang w:val="en-GB"/>
        </w:rPr>
      </w:pPr>
      <w:r w:rsidRPr="00C00FB5">
        <w:rPr>
          <w:color w:val="4472C4" w:themeColor="accent1"/>
          <w:szCs w:val="24"/>
          <w:lang w:val="en-GB"/>
        </w:rPr>
        <w:t>Notification General Information &lt;</w:t>
      </w:r>
      <w:r w:rsidRPr="00C00FB5">
        <w:rPr>
          <w:color w:val="4472C4" w:themeColor="accent1"/>
          <w:szCs w:val="24"/>
        </w:rPr>
        <w:t xml:space="preserve"> </w:t>
      </w:r>
      <w:proofErr w:type="spellStart"/>
      <w:r w:rsidRPr="00C00FB5">
        <w:rPr>
          <w:rStyle w:val="ng-binding"/>
          <w:color w:val="4472C4" w:themeColor="accent1"/>
          <w:szCs w:val="24"/>
        </w:rPr>
        <w:t>NtfctnGnlInf</w:t>
      </w:r>
      <w:proofErr w:type="spellEnd"/>
      <w:r w:rsidRPr="00C00FB5">
        <w:rPr>
          <w:rStyle w:val="ng-binding"/>
          <w:color w:val="4472C4" w:themeColor="accent1"/>
          <w:szCs w:val="24"/>
        </w:rPr>
        <w:t>&gt;</w:t>
      </w:r>
      <w:r w:rsidRPr="00C00FB5">
        <w:rPr>
          <w:color w:val="4472C4" w:themeColor="accent1"/>
          <w:szCs w:val="24"/>
          <w:lang w:val="en-GB"/>
        </w:rPr>
        <w:tab/>
        <w:t>1</w:t>
      </w:r>
      <w:r w:rsidRPr="00C00FB5">
        <w:rPr>
          <w:color w:val="4472C4" w:themeColor="accent1"/>
          <w:szCs w:val="24"/>
          <w:lang w:val="en-GB"/>
        </w:rPr>
        <w:tab/>
        <w:t>1</w:t>
      </w:r>
    </w:p>
    <w:p w14:paraId="251A033D" w14:textId="4EEE49DB" w:rsidR="007A7815" w:rsidRPr="00C00FB5" w:rsidRDefault="007A7815" w:rsidP="007A7815">
      <w:pPr>
        <w:ind w:firstLine="720"/>
        <w:rPr>
          <w:color w:val="4472C4" w:themeColor="accent1"/>
          <w:szCs w:val="24"/>
          <w:lang w:val="en-GB"/>
        </w:rPr>
      </w:pPr>
      <w:r w:rsidRPr="00C00FB5">
        <w:rPr>
          <w:color w:val="4472C4" w:themeColor="accent1"/>
          <w:szCs w:val="24"/>
          <w:lang w:val="en-GB"/>
        </w:rPr>
        <w:t>Notification Type &lt;</w:t>
      </w:r>
      <w:r w:rsidRPr="00C00FB5">
        <w:rPr>
          <w:color w:val="4472C4" w:themeColor="accent1"/>
          <w:szCs w:val="24"/>
        </w:rPr>
        <w:t xml:space="preserve"> </w:t>
      </w:r>
      <w:proofErr w:type="spellStart"/>
      <w:r w:rsidRPr="00C00FB5">
        <w:rPr>
          <w:rStyle w:val="ng-binding"/>
          <w:color w:val="4472C4" w:themeColor="accent1"/>
          <w:szCs w:val="24"/>
        </w:rPr>
        <w:t>NtfctnTp</w:t>
      </w:r>
      <w:proofErr w:type="spellEnd"/>
      <w:r w:rsidRPr="00C00FB5">
        <w:rPr>
          <w:rStyle w:val="ng-binding"/>
          <w:color w:val="4472C4" w:themeColor="accent1"/>
          <w:szCs w:val="24"/>
        </w:rPr>
        <w:t>&gt;</w:t>
      </w:r>
      <w:r w:rsidRPr="00C00FB5">
        <w:rPr>
          <w:color w:val="4472C4" w:themeColor="accent1"/>
          <w:szCs w:val="24"/>
          <w:lang w:val="en-GB"/>
        </w:rPr>
        <w:tab/>
        <w:t>1</w:t>
      </w:r>
      <w:r w:rsidRPr="00C00FB5">
        <w:rPr>
          <w:color w:val="4472C4" w:themeColor="accent1"/>
          <w:szCs w:val="24"/>
          <w:lang w:val="en-GB"/>
        </w:rPr>
        <w:tab/>
        <w:t>1</w:t>
      </w:r>
    </w:p>
    <w:p w14:paraId="71FB069C" w14:textId="2694454E" w:rsidR="007A7815" w:rsidRPr="00C00FB5" w:rsidRDefault="007A7815" w:rsidP="007A7815">
      <w:pPr>
        <w:ind w:firstLine="720"/>
        <w:rPr>
          <w:color w:val="4472C4" w:themeColor="accent1"/>
          <w:szCs w:val="24"/>
          <w:lang w:val="en-GB"/>
        </w:rPr>
      </w:pPr>
      <w:r w:rsidRPr="00C00FB5">
        <w:rPr>
          <w:color w:val="4472C4" w:themeColor="accent1"/>
          <w:szCs w:val="24"/>
          <w:lang w:val="en-GB"/>
        </w:rPr>
        <w:t>Notification Status &lt;</w:t>
      </w:r>
      <w:r w:rsidRPr="00C00FB5">
        <w:rPr>
          <w:color w:val="4472C4" w:themeColor="accent1"/>
          <w:szCs w:val="24"/>
        </w:rPr>
        <w:t xml:space="preserve"> </w:t>
      </w:r>
      <w:proofErr w:type="spellStart"/>
      <w:r w:rsidRPr="00C00FB5">
        <w:rPr>
          <w:rStyle w:val="ng-binding"/>
          <w:color w:val="4472C4" w:themeColor="accent1"/>
          <w:szCs w:val="24"/>
        </w:rPr>
        <w:t>NtfctnSts</w:t>
      </w:r>
      <w:proofErr w:type="spellEnd"/>
      <w:r w:rsidRPr="00C00FB5">
        <w:rPr>
          <w:rStyle w:val="ng-binding"/>
          <w:color w:val="4472C4" w:themeColor="accent1"/>
          <w:szCs w:val="24"/>
        </w:rPr>
        <w:t>&gt;</w:t>
      </w:r>
      <w:r w:rsidRPr="00C00FB5">
        <w:rPr>
          <w:color w:val="4472C4" w:themeColor="accent1"/>
          <w:szCs w:val="24"/>
          <w:lang w:val="en-GB"/>
        </w:rPr>
        <w:tab/>
        <w:t>1</w:t>
      </w:r>
      <w:r w:rsidRPr="00C00FB5">
        <w:rPr>
          <w:color w:val="4472C4" w:themeColor="accent1"/>
          <w:szCs w:val="24"/>
          <w:lang w:val="en-GB"/>
        </w:rPr>
        <w:tab/>
        <w:t>1</w:t>
      </w:r>
    </w:p>
    <w:p w14:paraId="0BA4B7D9" w14:textId="213386A6" w:rsidR="007A7815" w:rsidRPr="00C00FB5" w:rsidRDefault="007A7815" w:rsidP="007A7815">
      <w:pPr>
        <w:ind w:firstLine="720"/>
        <w:rPr>
          <w:color w:val="4472C4" w:themeColor="accent1"/>
          <w:szCs w:val="24"/>
          <w:lang w:val="en-GB"/>
        </w:rPr>
      </w:pPr>
      <w:r w:rsidRPr="00C00FB5">
        <w:rPr>
          <w:color w:val="4472C4" w:themeColor="accent1"/>
          <w:szCs w:val="24"/>
          <w:lang w:val="en-GB"/>
        </w:rPr>
        <w:t>Shareholder Rights Directive Indicator &lt;</w:t>
      </w:r>
      <w:proofErr w:type="spellStart"/>
      <w:r w:rsidRPr="00C00FB5">
        <w:rPr>
          <w:rStyle w:val="ng-binding"/>
          <w:color w:val="4472C4" w:themeColor="accent1"/>
          <w:szCs w:val="24"/>
        </w:rPr>
        <w:t>ShrhldrRghtsDrctvInd</w:t>
      </w:r>
      <w:proofErr w:type="spellEnd"/>
      <w:r w:rsidRPr="00C00FB5">
        <w:rPr>
          <w:rStyle w:val="ng-binding"/>
          <w:color w:val="4472C4" w:themeColor="accent1"/>
          <w:szCs w:val="24"/>
        </w:rPr>
        <w:t xml:space="preserve">&gt; </w:t>
      </w:r>
      <w:r w:rsidRPr="00C00FB5">
        <w:rPr>
          <w:color w:val="4472C4" w:themeColor="accent1"/>
          <w:szCs w:val="24"/>
          <w:lang w:val="en-GB"/>
        </w:rPr>
        <w:tab/>
        <w:t>0</w:t>
      </w:r>
      <w:r w:rsidRPr="00C00FB5">
        <w:rPr>
          <w:color w:val="4472C4" w:themeColor="accent1"/>
          <w:szCs w:val="24"/>
          <w:lang w:val="en-GB"/>
        </w:rPr>
        <w:tab/>
        <w:t>1</w:t>
      </w:r>
    </w:p>
    <w:p w14:paraId="4620D860" w14:textId="623B645B" w:rsidR="007A7815" w:rsidRPr="00C00FB5" w:rsidRDefault="007A7815" w:rsidP="007A7815">
      <w:pPr>
        <w:rPr>
          <w:color w:val="FF0000"/>
          <w:szCs w:val="24"/>
          <w:lang w:val="en-GB"/>
        </w:rPr>
      </w:pPr>
      <w:r w:rsidRPr="00C00FB5">
        <w:rPr>
          <w:color w:val="FF0000"/>
          <w:szCs w:val="24"/>
          <w:lang w:val="en-GB"/>
        </w:rPr>
        <w:t xml:space="preserve"> </w:t>
      </w:r>
      <w:r w:rsidRPr="00C00FB5">
        <w:rPr>
          <w:color w:val="FF0000"/>
          <w:szCs w:val="24"/>
          <w:lang w:val="en-GB"/>
        </w:rPr>
        <w:tab/>
        <w:t>Necessity of specific confirmation of holding &lt;</w:t>
      </w:r>
      <w:proofErr w:type="spellStart"/>
      <w:r w:rsidR="00427743" w:rsidRPr="00C00FB5">
        <w:rPr>
          <w:color w:val="FF0000"/>
          <w:szCs w:val="24"/>
          <w:lang w:val="en-GB"/>
        </w:rPr>
        <w:t>NecSpeConfHold</w:t>
      </w:r>
      <w:proofErr w:type="spellEnd"/>
      <w:r w:rsidRPr="00C00FB5">
        <w:rPr>
          <w:color w:val="FF0000"/>
          <w:szCs w:val="24"/>
          <w:lang w:val="en-GB"/>
        </w:rPr>
        <w:t xml:space="preserve">&gt; </w:t>
      </w:r>
      <w:r w:rsidRPr="00C00FB5">
        <w:rPr>
          <w:color w:val="FF0000"/>
          <w:szCs w:val="24"/>
          <w:lang w:val="en-GB"/>
        </w:rPr>
        <w:tab/>
        <w:t>0</w:t>
      </w:r>
      <w:r w:rsidRPr="00C00FB5">
        <w:rPr>
          <w:color w:val="FF0000"/>
          <w:szCs w:val="24"/>
          <w:lang w:val="en-GB"/>
        </w:rPr>
        <w:tab/>
        <w:t>1</w:t>
      </w:r>
    </w:p>
    <w:p w14:paraId="53736088" w14:textId="076CF1FB" w:rsidR="007A7815" w:rsidRPr="00C00FB5" w:rsidRDefault="007A7815" w:rsidP="007A7815">
      <w:pPr>
        <w:rPr>
          <w:color w:val="4472C4" w:themeColor="accent1"/>
          <w:szCs w:val="24"/>
          <w:lang w:val="en-GB"/>
        </w:rPr>
      </w:pPr>
      <w:r w:rsidRPr="00C00FB5">
        <w:rPr>
          <w:color w:val="4472C4" w:themeColor="accent1"/>
          <w:szCs w:val="24"/>
          <w:lang w:val="en-GB"/>
        </w:rPr>
        <w:t>….</w:t>
      </w:r>
    </w:p>
    <w:p w14:paraId="798BE872" w14:textId="07615B72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3CFDEBF9" w14:textId="77777777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5949968C" w14:textId="394F4A98" w:rsidR="006A5048" w:rsidRDefault="00903AEE" w:rsidP="007A7815">
      <w:pPr>
        <w:rPr>
          <w:color w:val="4472C4" w:themeColor="accent1"/>
          <w:sz w:val="21"/>
          <w:szCs w:val="21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CA93CA8" wp14:editId="643DFE3D">
            <wp:extent cx="4552315" cy="2122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46BD" w14:textId="77A4723E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7ABFB53F" w14:textId="2799347D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3B7F69F7" w14:textId="2210F84E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00129E6F" w14:textId="6554B07C" w:rsidR="006A5048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7D036CAC" w14:textId="77777777" w:rsidR="006A5048" w:rsidRPr="007A7815" w:rsidRDefault="006A5048" w:rsidP="007A7815">
      <w:pPr>
        <w:rPr>
          <w:color w:val="4472C4" w:themeColor="accent1"/>
          <w:sz w:val="21"/>
          <w:szCs w:val="21"/>
          <w:lang w:val="en-GB"/>
        </w:rPr>
      </w:pPr>
    </w:p>
    <w:p w14:paraId="3A22D892" w14:textId="44FA76C4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</w:t>
      </w:r>
      <w:r w:rsidR="005A1AA5">
        <w:rPr>
          <w:b/>
          <w:lang w:val="en-GB"/>
        </w:rPr>
        <w:t>/TSG</w:t>
      </w:r>
      <w:r>
        <w:rPr>
          <w:b/>
          <w:lang w:val="en-GB"/>
        </w:rPr>
        <w:t xml:space="preserve"> recommendation:</w:t>
      </w:r>
    </w:p>
    <w:p w14:paraId="65DB2CF5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p w14:paraId="24589DA1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109859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76A3EF2B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0A1B41FB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2BEE950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0BC04E11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6555EDE8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C94BC25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</w:t>
            </w:r>
            <w:r w:rsidR="006524C7">
              <w:rPr>
                <w:b/>
                <w:szCs w:val="24"/>
                <w:lang w:val="en-GB"/>
              </w:rPr>
              <w:t>1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</w:t>
            </w:r>
            <w:r w:rsidR="006524C7">
              <w:rPr>
                <w:b/>
                <w:szCs w:val="24"/>
                <w:lang w:val="en-GB"/>
              </w:rPr>
              <w:t>2</w:t>
            </w:r>
          </w:p>
          <w:p w14:paraId="610294BB" w14:textId="27A754C9" w:rsidR="00130EB9" w:rsidRPr="006D7FF8" w:rsidRDefault="00130EB9" w:rsidP="00052FF3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052FF3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052FF3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10BA1A" w14:textId="5C6901DE" w:rsidR="00130EB9" w:rsidRPr="00AD7CD5" w:rsidRDefault="00D1264F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bookmarkStart w:id="3" w:name="_GoBack"/>
        <w:bookmarkEnd w:id="3"/>
      </w:tr>
      <w:tr w:rsidR="00C40729" w:rsidRPr="006D7FF8" w14:paraId="76166863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B7F94C0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187A7AE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DC96175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21AC9D2C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020BA4A4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4AFA223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70EC0270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292667D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416A8556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E8A131A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87BF14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3B7D30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E27E79A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BECB592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32FE657A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46BA403A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23EC25D" w14:textId="77777777" w:rsidR="00C41DDB" w:rsidRDefault="00C41DDB" w:rsidP="00C41DDB">
      <w:pPr>
        <w:rPr>
          <w:szCs w:val="24"/>
          <w:lang w:val="en-GB"/>
        </w:rPr>
      </w:pPr>
    </w:p>
    <w:p w14:paraId="6CB36D0F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5F3EADB9" w14:textId="77777777" w:rsidTr="00C40729">
        <w:tc>
          <w:tcPr>
            <w:tcW w:w="1242" w:type="dxa"/>
          </w:tcPr>
          <w:p w14:paraId="3A6BBB48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51FC83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029B8946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6"/>
      <w:footerReference w:type="defaul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27D54" w14:textId="77777777" w:rsidR="005C1079" w:rsidRDefault="005C1079">
      <w:r>
        <w:separator/>
      </w:r>
    </w:p>
  </w:endnote>
  <w:endnote w:type="continuationSeparator" w:id="0">
    <w:p w14:paraId="005D582A" w14:textId="77777777" w:rsidR="005C1079" w:rsidRDefault="005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40496" w14:textId="27F86656" w:rsidR="00567F13" w:rsidRDefault="004379C9">
    <w:pPr>
      <w:pStyle w:val="Footer"/>
      <w:rPr>
        <w:rStyle w:val="PageNumber"/>
      </w:rPr>
    </w:pPr>
    <w:fldSimple w:instr=" FILENAME   \* MERGEFORMAT ">
      <w:r w:rsidR="00863DCD">
        <w:rPr>
          <w:noProof/>
        </w:rPr>
        <w:t>CR1010_DESSUG_CA_PSG_NecessityOfSpecificConfirmationOfHolding_v2</w:t>
      </w:r>
    </w:fldSimple>
    <w:r w:rsidR="006A5048">
      <w:rPr>
        <w:noProof/>
      </w:rPr>
      <w:t xml:space="preserve"> </w:t>
    </w:r>
    <w:r w:rsidR="00835756">
      <w:rPr>
        <w:noProof/>
      </w:rPr>
      <w:br/>
    </w:r>
    <w:r w:rsidR="00567F13">
      <w:t xml:space="preserve">Produced by </w:t>
    </w:r>
    <w:r w:rsidR="006A5048">
      <w:t>DESSUG-CA PSG</w:t>
    </w:r>
    <w:r w:rsidR="00567F13" w:rsidDel="00CC062F">
      <w:t xml:space="preserve"> </w:t>
    </w:r>
    <w:r w:rsidR="00567F13">
      <w:tab/>
    </w:r>
    <w:r w:rsidR="006A5048">
      <w:tab/>
    </w:r>
    <w:r w:rsidR="00567F13"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D1264F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4530D991" w14:textId="77777777" w:rsidR="00567F13" w:rsidRDefault="00567F13">
    <w:pPr>
      <w:pStyle w:val="Footer"/>
      <w:rPr>
        <w:rStyle w:val="PageNumber"/>
      </w:rPr>
    </w:pPr>
  </w:p>
  <w:p w14:paraId="7E1758CD" w14:textId="77777777" w:rsidR="00567F13" w:rsidRDefault="00567F13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BD3A" w14:textId="77777777" w:rsidR="005C1079" w:rsidRDefault="005C1079">
      <w:r>
        <w:separator/>
      </w:r>
    </w:p>
  </w:footnote>
  <w:footnote w:type="continuationSeparator" w:id="0">
    <w:p w14:paraId="2A04DC9C" w14:textId="77777777" w:rsidR="005C1079" w:rsidRDefault="005C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144E" w14:textId="2A21AC52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052FF3">
      <w:rPr>
        <w:lang w:val="fr-BE"/>
      </w:rPr>
      <w:t>CR10</w:t>
    </w:r>
    <w:r w:rsidR="004379C9">
      <w:rPr>
        <w:lang w:val="fr-BE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F4BC9"/>
    <w:multiLevelType w:val="hybridMultilevel"/>
    <w:tmpl w:val="82CEAC10"/>
    <w:lvl w:ilvl="0" w:tplc="83D86C56">
      <w:start w:val="3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8EA"/>
    <w:rsid w:val="000127ED"/>
    <w:rsid w:val="00021C86"/>
    <w:rsid w:val="0003395A"/>
    <w:rsid w:val="000408BA"/>
    <w:rsid w:val="00041661"/>
    <w:rsid w:val="00052FF3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97F19"/>
    <w:rsid w:val="001B1858"/>
    <w:rsid w:val="001D0D1B"/>
    <w:rsid w:val="001D176B"/>
    <w:rsid w:val="001D20B3"/>
    <w:rsid w:val="001E287E"/>
    <w:rsid w:val="001E2B1C"/>
    <w:rsid w:val="001E3BCF"/>
    <w:rsid w:val="00201D9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23E2"/>
    <w:rsid w:val="00316F04"/>
    <w:rsid w:val="00320A89"/>
    <w:rsid w:val="00324C6F"/>
    <w:rsid w:val="00332E8F"/>
    <w:rsid w:val="00336209"/>
    <w:rsid w:val="00336ED6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743"/>
    <w:rsid w:val="00427966"/>
    <w:rsid w:val="004379C9"/>
    <w:rsid w:val="00441D3B"/>
    <w:rsid w:val="0044313F"/>
    <w:rsid w:val="00445D10"/>
    <w:rsid w:val="00446B25"/>
    <w:rsid w:val="004475F9"/>
    <w:rsid w:val="00447891"/>
    <w:rsid w:val="0045022C"/>
    <w:rsid w:val="00451986"/>
    <w:rsid w:val="00462051"/>
    <w:rsid w:val="00465900"/>
    <w:rsid w:val="00473145"/>
    <w:rsid w:val="00486420"/>
    <w:rsid w:val="004A02CE"/>
    <w:rsid w:val="004A168F"/>
    <w:rsid w:val="004A31AA"/>
    <w:rsid w:val="004B5A22"/>
    <w:rsid w:val="004E1F21"/>
    <w:rsid w:val="004F0578"/>
    <w:rsid w:val="004F0934"/>
    <w:rsid w:val="004F61D5"/>
    <w:rsid w:val="0050171A"/>
    <w:rsid w:val="0052302E"/>
    <w:rsid w:val="005246BE"/>
    <w:rsid w:val="005411C7"/>
    <w:rsid w:val="00555709"/>
    <w:rsid w:val="0056096D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7F37"/>
    <w:rsid w:val="005B4CAC"/>
    <w:rsid w:val="005B602E"/>
    <w:rsid w:val="005C1079"/>
    <w:rsid w:val="005C4C5F"/>
    <w:rsid w:val="005D06FE"/>
    <w:rsid w:val="005E1210"/>
    <w:rsid w:val="005E3784"/>
    <w:rsid w:val="005E46E4"/>
    <w:rsid w:val="005F05DB"/>
    <w:rsid w:val="005F2E6B"/>
    <w:rsid w:val="005F3D32"/>
    <w:rsid w:val="006043A9"/>
    <w:rsid w:val="00610B1B"/>
    <w:rsid w:val="00610F9A"/>
    <w:rsid w:val="006316E5"/>
    <w:rsid w:val="00631A43"/>
    <w:rsid w:val="0063312E"/>
    <w:rsid w:val="00633B0A"/>
    <w:rsid w:val="00644606"/>
    <w:rsid w:val="006524C7"/>
    <w:rsid w:val="006643DC"/>
    <w:rsid w:val="0069576A"/>
    <w:rsid w:val="006A02BC"/>
    <w:rsid w:val="006A5048"/>
    <w:rsid w:val="006A7B96"/>
    <w:rsid w:val="006B20DC"/>
    <w:rsid w:val="006B4E86"/>
    <w:rsid w:val="006C321E"/>
    <w:rsid w:val="006D4A37"/>
    <w:rsid w:val="006E2522"/>
    <w:rsid w:val="006F422C"/>
    <w:rsid w:val="00706604"/>
    <w:rsid w:val="007118C4"/>
    <w:rsid w:val="00723DE0"/>
    <w:rsid w:val="00732595"/>
    <w:rsid w:val="0074349F"/>
    <w:rsid w:val="0075466C"/>
    <w:rsid w:val="00774921"/>
    <w:rsid w:val="00780877"/>
    <w:rsid w:val="00783891"/>
    <w:rsid w:val="007949EA"/>
    <w:rsid w:val="007A4CCC"/>
    <w:rsid w:val="007A6E0D"/>
    <w:rsid w:val="007A7815"/>
    <w:rsid w:val="007B3927"/>
    <w:rsid w:val="007C7AB4"/>
    <w:rsid w:val="007C7CD2"/>
    <w:rsid w:val="007D3EB0"/>
    <w:rsid w:val="007D69B5"/>
    <w:rsid w:val="007D6A9F"/>
    <w:rsid w:val="007E64D9"/>
    <w:rsid w:val="007F6A8C"/>
    <w:rsid w:val="00801493"/>
    <w:rsid w:val="008050F5"/>
    <w:rsid w:val="0081068B"/>
    <w:rsid w:val="008114F2"/>
    <w:rsid w:val="00811DCF"/>
    <w:rsid w:val="00812324"/>
    <w:rsid w:val="00814D4C"/>
    <w:rsid w:val="008265E8"/>
    <w:rsid w:val="008270CD"/>
    <w:rsid w:val="008270DF"/>
    <w:rsid w:val="00835756"/>
    <w:rsid w:val="00840FA2"/>
    <w:rsid w:val="0084123C"/>
    <w:rsid w:val="008438AF"/>
    <w:rsid w:val="00843FE8"/>
    <w:rsid w:val="008468C8"/>
    <w:rsid w:val="00854FA6"/>
    <w:rsid w:val="0085530C"/>
    <w:rsid w:val="00861DA2"/>
    <w:rsid w:val="00863DCD"/>
    <w:rsid w:val="0086406A"/>
    <w:rsid w:val="008656A6"/>
    <w:rsid w:val="00865C2F"/>
    <w:rsid w:val="0086676E"/>
    <w:rsid w:val="00875210"/>
    <w:rsid w:val="008869D6"/>
    <w:rsid w:val="008A7F65"/>
    <w:rsid w:val="008F5C90"/>
    <w:rsid w:val="00903AEE"/>
    <w:rsid w:val="00906C6A"/>
    <w:rsid w:val="00913654"/>
    <w:rsid w:val="00914273"/>
    <w:rsid w:val="00916A80"/>
    <w:rsid w:val="009279BF"/>
    <w:rsid w:val="00937D26"/>
    <w:rsid w:val="00943562"/>
    <w:rsid w:val="00951C86"/>
    <w:rsid w:val="00956D7A"/>
    <w:rsid w:val="00965199"/>
    <w:rsid w:val="00966046"/>
    <w:rsid w:val="009740C8"/>
    <w:rsid w:val="009770EE"/>
    <w:rsid w:val="009C1445"/>
    <w:rsid w:val="00A10221"/>
    <w:rsid w:val="00A21B8D"/>
    <w:rsid w:val="00A22F1A"/>
    <w:rsid w:val="00A25B84"/>
    <w:rsid w:val="00A32450"/>
    <w:rsid w:val="00A46877"/>
    <w:rsid w:val="00A47C6F"/>
    <w:rsid w:val="00A54478"/>
    <w:rsid w:val="00A5492F"/>
    <w:rsid w:val="00A60DC3"/>
    <w:rsid w:val="00A60E56"/>
    <w:rsid w:val="00A91F56"/>
    <w:rsid w:val="00A95C30"/>
    <w:rsid w:val="00AA5E76"/>
    <w:rsid w:val="00AD7BF2"/>
    <w:rsid w:val="00AD7CD5"/>
    <w:rsid w:val="00AE0A90"/>
    <w:rsid w:val="00AE4D14"/>
    <w:rsid w:val="00AF09E1"/>
    <w:rsid w:val="00AF2EBF"/>
    <w:rsid w:val="00B01132"/>
    <w:rsid w:val="00B06CA8"/>
    <w:rsid w:val="00B121B9"/>
    <w:rsid w:val="00B21761"/>
    <w:rsid w:val="00B21FA3"/>
    <w:rsid w:val="00B307A7"/>
    <w:rsid w:val="00B30D86"/>
    <w:rsid w:val="00B329EC"/>
    <w:rsid w:val="00B44DEE"/>
    <w:rsid w:val="00B45490"/>
    <w:rsid w:val="00B5520C"/>
    <w:rsid w:val="00B558AE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C7266"/>
    <w:rsid w:val="00BD6786"/>
    <w:rsid w:val="00C00FB5"/>
    <w:rsid w:val="00C06496"/>
    <w:rsid w:val="00C122AE"/>
    <w:rsid w:val="00C122FA"/>
    <w:rsid w:val="00C17665"/>
    <w:rsid w:val="00C32DF8"/>
    <w:rsid w:val="00C40729"/>
    <w:rsid w:val="00C41DDB"/>
    <w:rsid w:val="00C46C5A"/>
    <w:rsid w:val="00C52ABE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1264F"/>
    <w:rsid w:val="00D234FD"/>
    <w:rsid w:val="00D2600B"/>
    <w:rsid w:val="00D51B61"/>
    <w:rsid w:val="00D56571"/>
    <w:rsid w:val="00D64F3A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512C"/>
    <w:rsid w:val="00DF3B40"/>
    <w:rsid w:val="00E062E1"/>
    <w:rsid w:val="00E11D29"/>
    <w:rsid w:val="00E12FE7"/>
    <w:rsid w:val="00E1588B"/>
    <w:rsid w:val="00E256FC"/>
    <w:rsid w:val="00E3221E"/>
    <w:rsid w:val="00E37E77"/>
    <w:rsid w:val="00E5111B"/>
    <w:rsid w:val="00E561E0"/>
    <w:rsid w:val="00E67D1B"/>
    <w:rsid w:val="00E74C04"/>
    <w:rsid w:val="00E7537D"/>
    <w:rsid w:val="00E75ED0"/>
    <w:rsid w:val="00E845AB"/>
    <w:rsid w:val="00E8579D"/>
    <w:rsid w:val="00E928F1"/>
    <w:rsid w:val="00E92C2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27D99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87B06"/>
    <w:rsid w:val="00F91D83"/>
    <w:rsid w:val="00F91F93"/>
    <w:rsid w:val="00F93A64"/>
    <w:rsid w:val="00F94A2A"/>
    <w:rsid w:val="00FA112C"/>
    <w:rsid w:val="00FB56E2"/>
    <w:rsid w:val="00FC478C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2F90B0F"/>
  <w15:chartTrackingRefBased/>
  <w15:docId w15:val="{5C7E6DF3-A75C-48C4-B466-380D0F76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D7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062E1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E062E1"/>
    <w:rPr>
      <w:i/>
      <w:iCs/>
    </w:rPr>
  </w:style>
  <w:style w:type="character" w:customStyle="1" w:styleId="jnenbez">
    <w:name w:val="jnenbez"/>
    <w:rsid w:val="00943562"/>
  </w:style>
  <w:style w:type="character" w:customStyle="1" w:styleId="jnentitel">
    <w:name w:val="jnentitel"/>
    <w:rsid w:val="00943562"/>
  </w:style>
  <w:style w:type="paragraph" w:customStyle="1" w:styleId="Default">
    <w:name w:val="Default"/>
    <w:rsid w:val="0048642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6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6420"/>
    <w:rPr>
      <w:rFonts w:ascii="Courier New" w:eastAsia="Times New Roman" w:hAnsi="Courier New" w:cs="Courier New"/>
    </w:rPr>
  </w:style>
  <w:style w:type="character" w:customStyle="1" w:styleId="y2iqfc">
    <w:name w:val="y2iqfc"/>
    <w:rsid w:val="00486420"/>
  </w:style>
  <w:style w:type="character" w:customStyle="1" w:styleId="ng-binding">
    <w:name w:val="ng-binding"/>
    <w:rsid w:val="007A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DEDED"/>
            <w:right w:val="none" w:sz="0" w:space="0" w:color="auto"/>
          </w:divBdr>
          <w:divsChild>
            <w:div w:id="19943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DEDED"/>
                    <w:right w:val="none" w:sz="0" w:space="0" w:color="auto"/>
                  </w:divBdr>
                  <w:divsChild>
                    <w:div w:id="698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DEDED"/>
                    <w:right w:val="none" w:sz="0" w:space="0" w:color="auto"/>
                  </w:divBdr>
                  <w:divsChild>
                    <w:div w:id="21183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DEDED"/>
                    <w:right w:val="none" w:sz="0" w:space="0" w:color="auto"/>
                  </w:divBdr>
                  <w:divsChild>
                    <w:div w:id="9802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iner.Prior@linkmarketservices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ven-a.gunkel@db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bine.Wolff@clearstream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Daniel.Schaefer@hsbc.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e216652-7cb1-42d3-a22f-fb5c7f348db5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+PC9zaXNsPjxVc2VyTmFtZT5PQUFEXHd4NDI0PC9Vc2VyTmFtZT48RGF0ZVRpbWU+MjYvMDIvMjAyMSAwODoxNjozNDwvRGF0ZVRpbWU+PExhYmVsU3RyaW5nPlB1YmxpYzwvTGFiZWxTdHJpbmc+PC9pdGVtPjwvbGFiZWxIaXN0b3J5Pg=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ADC3-EEBE-4BB2-BB68-B9ABB293041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76DF6A-DD95-4CE3-A333-40518B8D8F4E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93D7BC1E-3FFA-4635-88E3-D79A1167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4049</CharactersWithSpaces>
  <SharedDoc>false</SharedDoc>
  <HLinks>
    <vt:vector size="36" baseType="variant">
      <vt:variant>
        <vt:i4>5177415</vt:i4>
      </vt:variant>
      <vt:variant>
        <vt:i4>15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5636145</vt:i4>
      </vt:variant>
      <vt:variant>
        <vt:i4>12</vt:i4>
      </vt:variant>
      <vt:variant>
        <vt:i4>0</vt:i4>
      </vt:variant>
      <vt:variant>
        <vt:i4>5</vt:i4>
      </vt:variant>
      <vt:variant>
        <vt:lpwstr>mailto:Sabine.Wolff@clearstream.com</vt:lpwstr>
      </vt:variant>
      <vt:variant>
        <vt:lpwstr/>
      </vt:variant>
      <vt:variant>
        <vt:i4>7602177</vt:i4>
      </vt:variant>
      <vt:variant>
        <vt:i4>9</vt:i4>
      </vt:variant>
      <vt:variant>
        <vt:i4>0</vt:i4>
      </vt:variant>
      <vt:variant>
        <vt:i4>5</vt:i4>
      </vt:variant>
      <vt:variant>
        <vt:lpwstr>mailto:Daniel.Schaefer@hsbc.de</vt:lpwstr>
      </vt:variant>
      <vt:variant>
        <vt:lpwstr/>
      </vt:variant>
      <vt:variant>
        <vt:i4>720937</vt:i4>
      </vt:variant>
      <vt:variant>
        <vt:i4>6</vt:i4>
      </vt:variant>
      <vt:variant>
        <vt:i4>0</vt:i4>
      </vt:variant>
      <vt:variant>
        <vt:i4>5</vt:i4>
      </vt:variant>
      <vt:variant>
        <vt:lpwstr>mailto:hmelchior@statestreet.com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>Limited Access</cp:keywords>
  <cp:lastModifiedBy>BINON Kaat</cp:lastModifiedBy>
  <cp:revision>4</cp:revision>
  <cp:lastPrinted>2009-03-10T11:18:00Z</cp:lastPrinted>
  <dcterms:created xsi:type="dcterms:W3CDTF">2021-08-04T09:06:00Z</dcterms:created>
  <dcterms:modified xsi:type="dcterms:W3CDTF">2021-08-04T09:07:00Z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9ea1f3c4-e6ff-4a0a-b560-0ddd6201ced8</vt:lpwstr>
  </property>
  <property fmtid="{D5CDD505-2E9C-101B-9397-08002B2CF9AE}" pid="3" name="_NewReviewCycle">
    <vt:lpwstr/>
  </property>
  <property fmtid="{D5CDD505-2E9C-101B-9397-08002B2CF9AE}" pid="4" name="docIndexRef">
    <vt:lpwstr>191ef481-fd98-47ba-b902-4950f5b8caf4</vt:lpwstr>
  </property>
  <property fmtid="{D5CDD505-2E9C-101B-9397-08002B2CF9AE}" pid="5" name="bjSaver">
    <vt:lpwstr>yiTg+cu4caFlXHVkQOkOmOiM/xni14hu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policy="5e216652-7cb1-42d3-a22f-fb5c7f348db5"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Public</vt:lpwstr>
  </property>
  <property fmtid="{D5CDD505-2E9C-101B-9397-08002B2CF9AE}" pid="9" name="DBG_Classification_ID">
    <vt:lpwstr>1</vt:lpwstr>
  </property>
  <property fmtid="{D5CDD505-2E9C-101B-9397-08002B2CF9AE}" pid="10" name="DBG_Classification_Name">
    <vt:lpwstr>Public</vt:lpwstr>
  </property>
  <property fmtid="{D5CDD505-2E9C-101B-9397-08002B2CF9AE}" pid="11" name="bjLabelHistoryID">
    <vt:lpwstr>{5976DF6A-DD95-4CE3-A333-40518B8D8F4E}</vt:lpwstr>
  </property>
  <property fmtid="{D5CDD505-2E9C-101B-9397-08002B2CF9AE}" pid="12" name="SSCClassification">
    <vt:lpwstr>LA</vt:lpwstr>
  </property>
  <property fmtid="{D5CDD505-2E9C-101B-9397-08002B2CF9AE}" pid="13" name="SSCVisualMarks">
    <vt:lpwstr>N</vt:lpwstr>
  </property>
</Properties>
</file>