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:rsidR="001C7659" w:rsidRDefault="001C7659" w:rsidP="00865C2F">
      <w:pPr>
        <w:jc w:val="center"/>
        <w:rPr>
          <w:b/>
          <w:smallCaps/>
          <w:szCs w:val="24"/>
          <w:lang w:val="en-GB"/>
        </w:rPr>
      </w:pPr>
    </w:p>
    <w:p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:rsidR="000408BA" w:rsidRPr="008D4BB8" w:rsidRDefault="008438AF" w:rsidP="008438AF">
      <w:pPr>
        <w:rPr>
          <w:color w:val="2F5496"/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8D4BB8" w:rsidRPr="008D4BB8">
        <w:rPr>
          <w:color w:val="2F5496"/>
          <w:szCs w:val="24"/>
          <w:lang w:val="en-GB"/>
        </w:rPr>
        <w:t>Daniele Pasqualini</w:t>
      </w:r>
      <w:r w:rsidR="008D4BB8">
        <w:rPr>
          <w:color w:val="2F5496"/>
          <w:szCs w:val="24"/>
          <w:lang w:val="en-GB"/>
        </w:rPr>
        <w:t>, the Italian Banking Community, CBPR+</w:t>
      </w:r>
    </w:p>
    <w:p w:rsidR="00593C6C" w:rsidRDefault="000408BA" w:rsidP="008438AF">
      <w:pPr>
        <w:rPr>
          <w:color w:val="2F5496"/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72311B">
        <w:rPr>
          <w:color w:val="2F5496"/>
          <w:szCs w:val="24"/>
          <w:lang w:val="en-GB"/>
        </w:rPr>
        <w:t>Kiyono Hasaka</w:t>
      </w:r>
      <w:r w:rsidR="00593C6C">
        <w:rPr>
          <w:color w:val="2F5496"/>
          <w:szCs w:val="24"/>
          <w:lang w:val="en-GB"/>
        </w:rPr>
        <w:t>, SWIFT</w:t>
      </w:r>
    </w:p>
    <w:p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:rsidR="00854FA6" w:rsidRPr="00512D97" w:rsidRDefault="00E66708" w:rsidP="00D9138D">
      <w:pPr>
        <w:autoSpaceDE w:val="0"/>
        <w:autoSpaceDN w:val="0"/>
        <w:adjustRightInd w:val="0"/>
        <w:spacing w:before="100" w:after="100"/>
        <w:rPr>
          <w:color w:val="2F5496"/>
          <w:szCs w:val="24"/>
          <w:lang w:eastAsia="en-GB"/>
        </w:rPr>
      </w:pPr>
      <w:r w:rsidRPr="00E66708">
        <w:rPr>
          <w:color w:val="2F5496"/>
          <w:szCs w:val="24"/>
          <w:lang w:eastAsia="en-GB"/>
        </w:rPr>
        <w:t>ExternalCategoryPurpose1Code</w:t>
      </w:r>
      <w:r w:rsidR="00BE3A96">
        <w:rPr>
          <w:color w:val="2F5496"/>
          <w:szCs w:val="24"/>
          <w:lang w:eastAsia="en-GB"/>
        </w:rPr>
        <w:t xml:space="preserve"> and </w:t>
      </w:r>
      <w:r w:rsidR="00BE3A96" w:rsidRPr="00BE3A96">
        <w:rPr>
          <w:color w:val="2F5496"/>
          <w:szCs w:val="24"/>
          <w:lang w:eastAsia="en-GB"/>
        </w:rPr>
        <w:t>ExternalPurpose1Code</w:t>
      </w:r>
    </w:p>
    <w:p w:rsidR="00854FA6" w:rsidRDefault="006D4A37" w:rsidP="004A45FC">
      <w:pPr>
        <w:pStyle w:val="TableParagraph"/>
        <w:spacing w:before="63"/>
        <w:ind w:left="59"/>
        <w:rPr>
          <w:lang w:val="en-GB"/>
        </w:rPr>
      </w:pPr>
      <w:r>
        <w:rPr>
          <w:b/>
          <w:lang w:val="en-GB"/>
        </w:rPr>
        <w:t>Description of the change request:</w:t>
      </w:r>
    </w:p>
    <w:p w:rsidR="00CC5C74" w:rsidRDefault="00E66708" w:rsidP="00AA5E76">
      <w:pPr>
        <w:rPr>
          <w:lang w:val="en-GB"/>
        </w:rPr>
      </w:pPr>
      <w:r>
        <w:rPr>
          <w:lang w:val="en-GB"/>
        </w:rPr>
        <w:t xml:space="preserve">Create </w:t>
      </w:r>
      <w:r w:rsidR="00BA3BF4">
        <w:rPr>
          <w:lang w:val="en-GB"/>
        </w:rPr>
        <w:t>the following</w:t>
      </w:r>
      <w:r>
        <w:rPr>
          <w:lang w:val="en-GB"/>
        </w:rPr>
        <w:t xml:space="preserve"> </w:t>
      </w:r>
      <w:r w:rsidR="00BE3A96">
        <w:rPr>
          <w:lang w:val="en-GB"/>
        </w:rPr>
        <w:t>codes for C</w:t>
      </w:r>
      <w:r>
        <w:rPr>
          <w:lang w:val="en-GB"/>
        </w:rPr>
        <w:t>at</w:t>
      </w:r>
      <w:r w:rsidR="00BA3BF4">
        <w:rPr>
          <w:lang w:val="en-GB"/>
        </w:rPr>
        <w:t xml:space="preserve">egory </w:t>
      </w:r>
      <w:r w:rsidR="00BE3A96">
        <w:rPr>
          <w:lang w:val="en-GB"/>
        </w:rPr>
        <w:t>P</w:t>
      </w:r>
      <w:r w:rsidR="00374F43">
        <w:rPr>
          <w:lang w:val="en-GB"/>
        </w:rPr>
        <w:t>urpose</w:t>
      </w:r>
      <w:r w:rsidR="00BE3A96">
        <w:rPr>
          <w:lang w:val="en-GB"/>
        </w:rPr>
        <w:t xml:space="preserve"> and Purpose</w:t>
      </w:r>
      <w:r w:rsidR="00BA3BF4">
        <w:rPr>
          <w:lang w:val="en-GB"/>
        </w:rPr>
        <w:t>:</w:t>
      </w:r>
    </w:p>
    <w:p w:rsidR="00293D8B" w:rsidRDefault="00293D8B" w:rsidP="00AA5E76">
      <w:pPr>
        <w:rPr>
          <w:lang w:val="en-GB"/>
        </w:rPr>
      </w:pPr>
    </w:p>
    <w:tbl>
      <w:tblPr>
        <w:tblW w:w="8503" w:type="dxa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935"/>
        <w:gridCol w:w="5434"/>
      </w:tblGrid>
      <w:tr w:rsidR="00595278" w:rsidTr="004A45FC">
        <w:trPr>
          <w:trHeight w:hRule="exact" w:val="3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595278" w:rsidRDefault="00595278" w:rsidP="00A04C8C">
            <w:pPr>
              <w:pStyle w:val="TableParagraph"/>
              <w:spacing w:before="63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Code</w:t>
            </w:r>
            <w:r w:rsidR="008A0287"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595278" w:rsidRDefault="00595278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:rsidR="00595278" w:rsidRDefault="00595278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Definition</w:t>
            </w:r>
          </w:p>
        </w:tc>
      </w:tr>
      <w:tr w:rsidR="008D4BB8" w:rsidRPr="004A45FC" w:rsidTr="00A04BF7">
        <w:trPr>
          <w:trHeight w:hRule="exact" w:val="52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4BB8" w:rsidRPr="00E66708" w:rsidRDefault="008D4BB8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8D4BB8">
              <w:rPr>
                <w:rFonts w:ascii="Arial" w:eastAsia="Arial" w:hAnsi="Arial" w:cs="Arial"/>
                <w:sz w:val="18"/>
                <w:szCs w:val="18"/>
                <w:lang w:val="en-GB"/>
              </w:rPr>
              <w:t>CMSW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4BB8" w:rsidRDefault="001535A9" w:rsidP="00A04BF7">
            <w:pPr>
              <w:pStyle w:val="TableParagraph"/>
              <w:spacing w:before="6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</w:t>
            </w:r>
            <w:r w:rsidR="00A04BF7">
              <w:rPr>
                <w:rFonts w:ascii="Arial" w:eastAsia="Arial" w:hAnsi="Arial" w:cs="Arial"/>
                <w:sz w:val="18"/>
                <w:szCs w:val="18"/>
                <w:lang w:val="en-GB"/>
              </w:rPr>
              <w:t>Sweep the account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4BB8" w:rsidRPr="004A45FC" w:rsidRDefault="00A04BF7" w:rsidP="004A45F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A04BF7">
              <w:rPr>
                <w:rFonts w:ascii="Arial" w:eastAsia="Arial" w:hAnsi="Arial" w:cs="Arial"/>
                <w:sz w:val="18"/>
                <w:szCs w:val="18"/>
                <w:lang w:val="en-GB"/>
              </w:rPr>
              <w:t>This transaction contains a cash management instruction, requesting to sweep the account of the ordering customer.</w:t>
            </w:r>
          </w:p>
        </w:tc>
      </w:tr>
      <w:tr w:rsidR="008D4BB8" w:rsidRPr="00A04BF7" w:rsidTr="006C3BE2">
        <w:trPr>
          <w:trHeight w:hRule="exact" w:val="71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4BB8" w:rsidRPr="00E66708" w:rsidRDefault="008D4BB8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CMTO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4BB8" w:rsidRDefault="001535A9" w:rsidP="00A04BF7">
            <w:pPr>
              <w:pStyle w:val="TableParagraph"/>
              <w:spacing w:before="6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</w:t>
            </w:r>
            <w:r w:rsidR="00A04BF7">
              <w:rPr>
                <w:rFonts w:ascii="Arial" w:eastAsia="Arial" w:hAnsi="Arial" w:cs="Arial"/>
                <w:sz w:val="18"/>
                <w:szCs w:val="18"/>
                <w:lang w:val="en-GB"/>
              </w:rPr>
              <w:t>Top the account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4BB8" w:rsidRPr="004A45FC" w:rsidRDefault="00A04BF7" w:rsidP="006C3BE2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A04BF7">
              <w:rPr>
                <w:rFonts w:ascii="Arial" w:eastAsia="Arial" w:hAnsi="Arial" w:cs="Arial"/>
                <w:sz w:val="18"/>
                <w:szCs w:val="18"/>
                <w:lang w:val="en-GB"/>
              </w:rPr>
              <w:t>This transaction contains a cash management instruction, requesting to top the account of the ordering customer above a certain floor amount.</w:t>
            </w:r>
          </w:p>
        </w:tc>
      </w:tr>
      <w:tr w:rsidR="008D4BB8" w:rsidTr="006C3BE2">
        <w:trPr>
          <w:trHeight w:hRule="exact" w:val="53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4BB8" w:rsidRPr="00E66708" w:rsidRDefault="008D4BB8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EE5699">
              <w:rPr>
                <w:rFonts w:ascii="Arial" w:eastAsia="Arial" w:hAnsi="Arial" w:cs="Arial"/>
                <w:sz w:val="18"/>
                <w:szCs w:val="18"/>
                <w:lang w:val="en-GB"/>
              </w:rPr>
              <w:t>CMZB</w:t>
            </w:r>
          </w:p>
        </w:tc>
        <w:tc>
          <w:tcPr>
            <w:tcW w:w="1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4BB8" w:rsidRDefault="001535A9" w:rsidP="001535A9">
            <w:pPr>
              <w:pStyle w:val="TableParagraph"/>
              <w:spacing w:before="6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 Zero b</w:t>
            </w:r>
            <w:r w:rsidR="004A45FC" w:rsidRPr="004A45FC">
              <w:rPr>
                <w:rFonts w:ascii="Arial" w:eastAsia="Arial" w:hAnsi="Arial" w:cs="Arial"/>
                <w:sz w:val="18"/>
                <w:szCs w:val="18"/>
                <w:lang w:val="en-GB"/>
              </w:rPr>
              <w:t>alanc</w:t>
            </w: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e the account</w:t>
            </w:r>
          </w:p>
        </w:tc>
        <w:tc>
          <w:tcPr>
            <w:tcW w:w="5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4BB8" w:rsidRPr="004A45FC" w:rsidRDefault="001535A9" w:rsidP="004A45F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1535A9">
              <w:rPr>
                <w:rFonts w:ascii="Arial" w:eastAsia="Arial" w:hAnsi="Arial" w:cs="Arial"/>
                <w:sz w:val="18"/>
                <w:szCs w:val="18"/>
                <w:lang w:val="en-GB"/>
              </w:rPr>
              <w:t>This transaction contains a cash management instruction, requesting to zero balance the account of the ordering customer.</w:t>
            </w:r>
          </w:p>
        </w:tc>
      </w:tr>
    </w:tbl>
    <w:p w:rsidR="00BA3BF4" w:rsidRDefault="00BA3BF4" w:rsidP="00DB7412">
      <w:pPr>
        <w:rPr>
          <w:b/>
          <w:szCs w:val="24"/>
          <w:lang w:val="en-GB"/>
        </w:rPr>
      </w:pPr>
    </w:p>
    <w:p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:rsidR="00463AAE" w:rsidRDefault="00D9138D" w:rsidP="00865C2F">
      <w:pPr>
        <w:rPr>
          <w:lang w:val="en-GB"/>
        </w:rPr>
      </w:pPr>
      <w:r>
        <w:rPr>
          <w:lang w:val="en-GB"/>
        </w:rPr>
        <w:t xml:space="preserve">The purpose of </w:t>
      </w:r>
      <w:r w:rsidR="005C53C5">
        <w:rPr>
          <w:lang w:val="en-GB"/>
        </w:rPr>
        <w:t xml:space="preserve">this change is to </w:t>
      </w:r>
      <w:r w:rsidR="00DB7412">
        <w:rPr>
          <w:lang w:val="en-GB"/>
        </w:rPr>
        <w:t xml:space="preserve">support new category </w:t>
      </w:r>
      <w:r w:rsidR="004C6A92">
        <w:rPr>
          <w:lang w:val="en-GB"/>
        </w:rPr>
        <w:t>purpose</w:t>
      </w:r>
      <w:r w:rsidR="00BE3A96">
        <w:rPr>
          <w:lang w:val="en-GB"/>
        </w:rPr>
        <w:t xml:space="preserve"> and purpose</w:t>
      </w:r>
      <w:r w:rsidR="004C6A92">
        <w:rPr>
          <w:lang w:val="en-GB"/>
        </w:rPr>
        <w:t xml:space="preserve"> </w:t>
      </w:r>
      <w:r w:rsidR="00DB7412">
        <w:rPr>
          <w:lang w:val="en-GB"/>
        </w:rPr>
        <w:t>code</w:t>
      </w:r>
      <w:r w:rsidR="00463AAE">
        <w:rPr>
          <w:lang w:val="en-GB"/>
        </w:rPr>
        <w:t>s.</w:t>
      </w:r>
    </w:p>
    <w:p w:rsidR="00463AAE" w:rsidRDefault="004A45FC" w:rsidP="00865C2F">
      <w:pPr>
        <w:rPr>
          <w:lang w:val="en-GB"/>
        </w:rPr>
      </w:pPr>
      <w:r>
        <w:rPr>
          <w:lang w:val="en-GB"/>
        </w:rPr>
        <w:t>CBPR+</w:t>
      </w:r>
      <w:r w:rsidR="006B0F86">
        <w:rPr>
          <w:lang w:val="en-GB"/>
        </w:rPr>
        <w:t xml:space="preserve"> Working Group</w:t>
      </w:r>
      <w:r>
        <w:rPr>
          <w:lang w:val="en-GB"/>
        </w:rPr>
        <w:t xml:space="preserve"> reviewed</w:t>
      </w:r>
      <w:r w:rsidR="006C3BE2">
        <w:rPr>
          <w:lang w:val="en-GB"/>
        </w:rPr>
        <w:t xml:space="preserve"> </w:t>
      </w:r>
      <w:r w:rsidR="00113E1F">
        <w:rPr>
          <w:lang w:val="en-GB"/>
        </w:rPr>
        <w:t>corporate</w:t>
      </w:r>
      <w:r w:rsidR="009E1394">
        <w:rPr>
          <w:lang w:val="en-GB"/>
        </w:rPr>
        <w:t xml:space="preserve"> </w:t>
      </w:r>
      <w:r>
        <w:rPr>
          <w:lang w:val="en-GB"/>
        </w:rPr>
        <w:t>use case</w:t>
      </w:r>
      <w:r w:rsidR="006C3BE2">
        <w:rPr>
          <w:lang w:val="en-GB"/>
        </w:rPr>
        <w:t>s</w:t>
      </w:r>
      <w:r w:rsidR="00AF320A">
        <w:rPr>
          <w:lang w:val="en-GB"/>
        </w:rPr>
        <w:t xml:space="preserve"> of </w:t>
      </w:r>
      <w:r w:rsidR="00113E1F">
        <w:rPr>
          <w:lang w:val="en-GB"/>
        </w:rPr>
        <w:t xml:space="preserve">multi-bank liquidity </w:t>
      </w:r>
      <w:r w:rsidR="009E1394">
        <w:rPr>
          <w:lang w:val="en-GB"/>
        </w:rPr>
        <w:t>sweeps</w:t>
      </w:r>
      <w:r w:rsidR="00811638">
        <w:rPr>
          <w:lang w:val="en-GB"/>
        </w:rPr>
        <w:t xml:space="preserve"> and </w:t>
      </w:r>
      <w:r>
        <w:rPr>
          <w:lang w:val="en-GB"/>
        </w:rPr>
        <w:t xml:space="preserve">found the need to register </w:t>
      </w:r>
      <w:r w:rsidR="00BE3A96">
        <w:rPr>
          <w:lang w:val="en-GB"/>
        </w:rPr>
        <w:t>additional</w:t>
      </w:r>
      <w:r>
        <w:rPr>
          <w:lang w:val="en-GB"/>
        </w:rPr>
        <w:t xml:space="preserve"> category purpose</w:t>
      </w:r>
      <w:r w:rsidR="00BE3A96">
        <w:rPr>
          <w:lang w:val="en-GB"/>
        </w:rPr>
        <w:t xml:space="preserve"> and purpose</w:t>
      </w:r>
      <w:r>
        <w:rPr>
          <w:lang w:val="en-GB"/>
        </w:rPr>
        <w:t xml:space="preserve"> codes</w:t>
      </w:r>
      <w:r w:rsidR="00811638">
        <w:rPr>
          <w:lang w:val="en-GB"/>
        </w:rPr>
        <w:t xml:space="preserve"> </w:t>
      </w:r>
      <w:r w:rsidR="006C3BE2">
        <w:rPr>
          <w:lang w:val="en-GB"/>
        </w:rPr>
        <w:t xml:space="preserve">to be </w:t>
      </w:r>
      <w:r w:rsidR="00463AAE">
        <w:rPr>
          <w:lang w:val="en-GB"/>
        </w:rPr>
        <w:t xml:space="preserve">compatible </w:t>
      </w:r>
      <w:r w:rsidR="00811638">
        <w:rPr>
          <w:lang w:val="en-GB"/>
        </w:rPr>
        <w:t>with</w:t>
      </w:r>
      <w:r w:rsidR="00463AAE">
        <w:rPr>
          <w:lang w:val="en-GB"/>
        </w:rPr>
        <w:t xml:space="preserve"> </w:t>
      </w:r>
      <w:r w:rsidR="00113E1F">
        <w:rPr>
          <w:lang w:val="en-GB"/>
        </w:rPr>
        <w:t xml:space="preserve">legacy </w:t>
      </w:r>
      <w:r w:rsidR="00463AAE">
        <w:rPr>
          <w:lang w:val="en-GB"/>
        </w:rPr>
        <w:t xml:space="preserve">MT 101 </w:t>
      </w:r>
      <w:r w:rsidR="00811638">
        <w:rPr>
          <w:lang w:val="en-GB"/>
        </w:rPr>
        <w:t xml:space="preserve">in preparation for </w:t>
      </w:r>
      <w:r w:rsidR="00463AAE">
        <w:rPr>
          <w:lang w:val="en-GB"/>
        </w:rPr>
        <w:t>MT-MX co-existence</w:t>
      </w:r>
      <w:r w:rsidR="00113E1F">
        <w:rPr>
          <w:lang w:val="en-GB"/>
        </w:rPr>
        <w:t xml:space="preserve"> </w:t>
      </w:r>
      <w:r w:rsidR="00811638">
        <w:rPr>
          <w:lang w:val="en-GB"/>
        </w:rPr>
        <w:t>starting in Nov 2022</w:t>
      </w:r>
      <w:r w:rsidR="00463AAE">
        <w:rPr>
          <w:lang w:val="en-GB"/>
        </w:rPr>
        <w:t xml:space="preserve">. </w:t>
      </w:r>
    </w:p>
    <w:p w:rsidR="00940AC0" w:rsidRDefault="004A45FC" w:rsidP="00940AC0">
      <w:r>
        <w:rPr>
          <w:lang w:val="en-GB"/>
        </w:rPr>
        <w:t>Currently, corporates</w:t>
      </w:r>
      <w:r w:rsidR="00811638">
        <w:rPr>
          <w:lang w:val="en-GB"/>
        </w:rPr>
        <w:t xml:space="preserve"> </w:t>
      </w:r>
      <w:r>
        <w:rPr>
          <w:lang w:val="en-GB"/>
        </w:rPr>
        <w:t xml:space="preserve">indicate </w:t>
      </w:r>
      <w:r w:rsidR="00BE3A96">
        <w:rPr>
          <w:lang w:val="en-GB"/>
        </w:rPr>
        <w:t xml:space="preserve">a </w:t>
      </w:r>
      <w:r w:rsidR="008053F4">
        <w:rPr>
          <w:lang w:val="en-GB"/>
        </w:rPr>
        <w:t>cash</w:t>
      </w:r>
      <w:r w:rsidR="00BE3A96">
        <w:rPr>
          <w:lang w:val="en-GB"/>
        </w:rPr>
        <w:t xml:space="preserve"> management</w:t>
      </w:r>
      <w:r w:rsidR="00811638">
        <w:rPr>
          <w:lang w:val="en-GB"/>
        </w:rPr>
        <w:t xml:space="preserve"> code,</w:t>
      </w:r>
      <w:r w:rsidR="009E1394">
        <w:rPr>
          <w:lang w:val="en-GB"/>
        </w:rPr>
        <w:t xml:space="preserve"> </w:t>
      </w:r>
      <w:r w:rsidR="009E1394">
        <w:t xml:space="preserve">“CMSW” </w:t>
      </w:r>
      <w:r w:rsidR="00BE3A96">
        <w:t>(</w:t>
      </w:r>
      <w:r w:rsidR="00811638">
        <w:t>s</w:t>
      </w:r>
      <w:r w:rsidR="009E1394">
        <w:t>weep the a</w:t>
      </w:r>
      <w:r w:rsidR="00A04BF7">
        <w:t>ccount</w:t>
      </w:r>
      <w:r w:rsidR="00BE3A96">
        <w:t>)</w:t>
      </w:r>
      <w:r w:rsidR="00811638">
        <w:t>,</w:t>
      </w:r>
      <w:r w:rsidR="009E1394">
        <w:t xml:space="preserve"> “</w:t>
      </w:r>
      <w:r w:rsidR="00AF320A">
        <w:t>CMZB</w:t>
      </w:r>
      <w:r w:rsidR="009E1394">
        <w:t xml:space="preserve">” </w:t>
      </w:r>
      <w:r w:rsidR="00BE3A96">
        <w:t>(</w:t>
      </w:r>
      <w:r w:rsidR="006C3BE2">
        <w:t>zero balanc</w:t>
      </w:r>
      <w:r w:rsidR="00DD0C76">
        <w:t>e the account</w:t>
      </w:r>
      <w:r w:rsidR="00BE3A96">
        <w:t>)</w:t>
      </w:r>
      <w:r w:rsidR="006C3BE2">
        <w:t xml:space="preserve"> </w:t>
      </w:r>
      <w:r w:rsidR="009E1394">
        <w:t>or “CMTO”</w:t>
      </w:r>
      <w:r w:rsidR="00811638">
        <w:t xml:space="preserve"> </w:t>
      </w:r>
      <w:r w:rsidR="00BE3A96">
        <w:t>(</w:t>
      </w:r>
      <w:r w:rsidR="00811638">
        <w:t>t</w:t>
      </w:r>
      <w:r w:rsidR="00AF320A">
        <w:t>op the account</w:t>
      </w:r>
      <w:r w:rsidR="00BE3A96">
        <w:t>)</w:t>
      </w:r>
      <w:r w:rsidR="00AF320A">
        <w:t xml:space="preserve"> </w:t>
      </w:r>
      <w:r w:rsidR="00BE3A96">
        <w:t>in</w:t>
      </w:r>
      <w:r w:rsidR="00811638">
        <w:t xml:space="preserve"> MT 101 field 23E </w:t>
      </w:r>
      <w:r w:rsidR="00BE3A96">
        <w:t>instruction code</w:t>
      </w:r>
      <w:r w:rsidR="00113E1F">
        <w:t>.</w:t>
      </w:r>
      <w:r w:rsidR="00BE3A96">
        <w:t xml:space="preserve"> T</w:t>
      </w:r>
      <w:r w:rsidR="00AF320A">
        <w:t>hese code</w:t>
      </w:r>
      <w:r w:rsidR="00811638">
        <w:t>s</w:t>
      </w:r>
      <w:r w:rsidR="00AF320A">
        <w:t xml:space="preserve"> </w:t>
      </w:r>
      <w:r w:rsidR="00BE3A96">
        <w:t xml:space="preserve">are mainly intended for the receiver of the MT 101 performing liquidity sweeps on behalf of corporates. </w:t>
      </w:r>
      <w:r w:rsidR="00702D2D" w:rsidRPr="00702D2D">
        <w:t>The</w:t>
      </w:r>
      <w:r w:rsidR="008053F4" w:rsidRPr="00702D2D">
        <w:t xml:space="preserve"> receiver of MT 101</w:t>
      </w:r>
      <w:r w:rsidR="00940AC0" w:rsidRPr="00702D2D">
        <w:t xml:space="preserve"> may map these instruction codes to the field 70 of the MT 103</w:t>
      </w:r>
      <w:r w:rsidR="00702D2D" w:rsidRPr="00702D2D">
        <w:t xml:space="preserve"> </w:t>
      </w:r>
      <w:r w:rsidR="00940AC0" w:rsidRPr="00702D2D">
        <w:t xml:space="preserve">and </w:t>
      </w:r>
      <w:r w:rsidR="00702D2D" w:rsidRPr="00702D2D">
        <w:t xml:space="preserve">report </w:t>
      </w:r>
      <w:r w:rsidR="00702D2D">
        <w:t>similar</w:t>
      </w:r>
      <w:r w:rsidR="00702D2D" w:rsidRPr="00702D2D">
        <w:t xml:space="preserve"> codes also in the MT 940/2 field 61. </w:t>
      </w:r>
    </w:p>
    <w:p w:rsidR="00940AC0" w:rsidRDefault="00940AC0" w:rsidP="00940AC0">
      <w:r>
        <w:t>As interbank is adopting ISO 20022, the equivalent codes should be available in the Category Purpose and Purpose elements</w:t>
      </w:r>
      <w:r w:rsidR="001D2337">
        <w:t xml:space="preserve"> to</w:t>
      </w:r>
      <w:r>
        <w:t xml:space="preserve"> support liquidity sweep operations</w:t>
      </w:r>
      <w:r w:rsidR="000045B9">
        <w:t xml:space="preserve"> and facilitate interoperability across MT and MX standards.</w:t>
      </w:r>
    </w:p>
    <w:p w:rsidR="006C3BE2" w:rsidRDefault="00940AC0" w:rsidP="00865C2F">
      <w:r>
        <w:rPr>
          <w:lang w:val="en-GB"/>
        </w:rPr>
        <w:t>This use</w:t>
      </w:r>
      <w:r w:rsidR="006C3BE2">
        <w:rPr>
          <w:lang w:val="en-GB"/>
        </w:rPr>
        <w:t xml:space="preserve"> case of corporate liquidity sweeps have a clear multi-bank and cross-border nature, and have strong potential for benefitting from enhanced and structured data to attain consistent multi-bank sweep operations enabled by ISO 20022.</w:t>
      </w:r>
    </w:p>
    <w:p w:rsidR="006C3BE2" w:rsidRDefault="006C3BE2" w:rsidP="006C3BE2">
      <w:r>
        <w:t xml:space="preserve">There is a commonly used code </w:t>
      </w:r>
      <w:r w:rsidR="009E1394">
        <w:rPr>
          <w:lang w:val="en-GB"/>
        </w:rPr>
        <w:t>“</w:t>
      </w:r>
      <w:r w:rsidR="004A45FC">
        <w:rPr>
          <w:lang w:val="en-GB"/>
        </w:rPr>
        <w:t>INTC</w:t>
      </w:r>
      <w:r w:rsidR="009E1394">
        <w:rPr>
          <w:lang w:val="en-GB"/>
        </w:rPr>
        <w:t xml:space="preserve">” </w:t>
      </w:r>
      <w:r w:rsidR="004A45FC">
        <w:rPr>
          <w:lang w:val="en-GB"/>
        </w:rPr>
        <w:t xml:space="preserve">Intra Company Payment in </w:t>
      </w:r>
      <w:r>
        <w:rPr>
          <w:lang w:val="en-GB"/>
        </w:rPr>
        <w:t xml:space="preserve">the </w:t>
      </w:r>
      <w:r w:rsidR="004A45FC">
        <w:rPr>
          <w:lang w:val="en-GB"/>
        </w:rPr>
        <w:t>MT 101</w:t>
      </w:r>
      <w:r w:rsidR="00AF320A">
        <w:rPr>
          <w:lang w:val="en-GB"/>
        </w:rPr>
        <w:t xml:space="preserve">, MT 103 and ISO, however, </w:t>
      </w:r>
      <w:r w:rsidR="00AF320A" w:rsidRPr="004A45FC">
        <w:t xml:space="preserve">the definition is too broad </w:t>
      </w:r>
      <w:r w:rsidR="00940AC0">
        <w:t xml:space="preserve">to </w:t>
      </w:r>
      <w:r w:rsidR="004E280C">
        <w:t xml:space="preserve">trigger </w:t>
      </w:r>
      <w:r>
        <w:t>liquidity sweep</w:t>
      </w:r>
      <w:r w:rsidR="004E280C">
        <w:t xml:space="preserve"> operations and apply the </w:t>
      </w:r>
      <w:bookmarkStart w:id="0" w:name="_GoBack"/>
      <w:bookmarkEnd w:id="0"/>
      <w:r w:rsidR="004E280C">
        <w:t>relevant pricing</w:t>
      </w:r>
      <w:r>
        <w:t xml:space="preserve">. </w:t>
      </w:r>
    </w:p>
    <w:p w:rsidR="00113E1F" w:rsidRDefault="006C3BE2" w:rsidP="00113E1F">
      <w:pPr>
        <w:rPr>
          <w:lang w:val="en-GB"/>
        </w:rPr>
      </w:pPr>
      <w:r>
        <w:lastRenderedPageBreak/>
        <w:t xml:space="preserve">Therefore, this change request is to support additional codes </w:t>
      </w:r>
      <w:r w:rsidR="000045B9">
        <w:t xml:space="preserve">for both Category Purpose and Purpose </w:t>
      </w:r>
      <w:r>
        <w:t xml:space="preserve">to </w:t>
      </w:r>
      <w:r w:rsidR="000045B9">
        <w:t>consistently</w:t>
      </w:r>
      <w:r w:rsidR="001D2337">
        <w:t xml:space="preserve"> trigger corporate liquidity management </w:t>
      </w:r>
      <w:r w:rsidR="00113E1F">
        <w:t>operations</w:t>
      </w:r>
      <w:r w:rsidR="000045B9">
        <w:t xml:space="preserve"> globally</w:t>
      </w:r>
      <w:r w:rsidR="00113E1F">
        <w:t xml:space="preserve">. </w:t>
      </w:r>
    </w:p>
    <w:p w:rsidR="00783891" w:rsidRDefault="00AA5E76" w:rsidP="00113E1F">
      <w:p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:rsidR="00F34C66" w:rsidRDefault="00D9138D" w:rsidP="00F34C66">
      <w:pPr>
        <w:rPr>
          <w:szCs w:val="24"/>
          <w:lang w:val="en-GB"/>
        </w:rPr>
      </w:pPr>
      <w:r>
        <w:rPr>
          <w:szCs w:val="24"/>
          <w:lang w:val="en-GB"/>
        </w:rPr>
        <w:t>Next quarterly update of the external code list is fine.</w:t>
      </w:r>
    </w:p>
    <w:p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:rsidR="00DD0C76" w:rsidRPr="00702D2D" w:rsidRDefault="005E27D6" w:rsidP="00783891">
      <w:pPr>
        <w:rPr>
          <w:lang w:val="en-GB"/>
        </w:rPr>
      </w:pPr>
      <w:r>
        <w:rPr>
          <w:lang w:val="en-GB"/>
        </w:rPr>
        <w:t>Please r</w:t>
      </w:r>
      <w:r w:rsidR="00E34A4B">
        <w:rPr>
          <w:lang w:val="en-GB"/>
        </w:rPr>
        <w:t xml:space="preserve">efer to two use cases of the interbank customer credit transfer </w:t>
      </w:r>
      <w:r>
        <w:rPr>
          <w:lang w:val="en-GB"/>
        </w:rPr>
        <w:t>initiation</w:t>
      </w:r>
      <w:r w:rsidR="00E34A4B">
        <w:rPr>
          <w:lang w:val="en-GB"/>
        </w:rPr>
        <w:t xml:space="preserve"> message sent by the Initiating Party to the </w:t>
      </w:r>
      <w:r>
        <w:rPr>
          <w:lang w:val="en-GB"/>
        </w:rPr>
        <w:t>Forwarding</w:t>
      </w:r>
      <w:r w:rsidR="00E34A4B">
        <w:rPr>
          <w:lang w:val="en-GB"/>
        </w:rPr>
        <w:t xml:space="preserve"> Agent </w:t>
      </w:r>
      <w:r>
        <w:rPr>
          <w:lang w:val="en-GB"/>
        </w:rPr>
        <w:t xml:space="preserve">or the Debtor Agent for corporate-initiated liquidity sweeps </w:t>
      </w:r>
      <w:r w:rsidR="00DD0C76" w:rsidRPr="00702D2D">
        <w:rPr>
          <w:lang w:val="en-GB"/>
        </w:rPr>
        <w:t>and FI-initiated liquidity sweeps below extract from the CBPR+ UHB:</w:t>
      </w:r>
    </w:p>
    <w:p w:rsidR="003D2A66" w:rsidRDefault="00702D2D" w:rsidP="00783891">
      <w:pPr>
        <w:rPr>
          <w:lang w:val="en-GB"/>
        </w:rPr>
      </w:pPr>
      <w:r>
        <w:rPr>
          <w:noProof/>
          <w:lang w:val="en-GB" w:eastAsia="ja-JP"/>
        </w:rPr>
        <w:drawing>
          <wp:inline distT="0" distB="0" distL="0" distR="0" wp14:anchorId="4698787A" wp14:editId="1952CBB2">
            <wp:extent cx="5701030" cy="31159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1030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BF7" w:rsidRDefault="00A04BF7" w:rsidP="00783891">
      <w:pPr>
        <w:rPr>
          <w:lang w:val="en-GB"/>
        </w:rPr>
      </w:pPr>
    </w:p>
    <w:p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will be completed in due time by the SEG in charge of the related </w:t>
      </w:r>
      <w:r w:rsidR="00812A48">
        <w:rPr>
          <w:i/>
          <w:szCs w:val="24"/>
          <w:lang w:val="en-GB"/>
        </w:rPr>
        <w:t xml:space="preserve">External Code </w:t>
      </w:r>
      <w:r w:rsidR="005C420B">
        <w:rPr>
          <w:i/>
          <w:szCs w:val="24"/>
          <w:lang w:val="en-GB"/>
        </w:rPr>
        <w:t>Set</w:t>
      </w:r>
      <w:r>
        <w:rPr>
          <w:i/>
          <w:szCs w:val="24"/>
          <w:lang w:val="en-GB"/>
        </w:rPr>
        <w:t xml:space="preserve">. </w:t>
      </w:r>
    </w:p>
    <w:p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:rsidR="00706604" w:rsidRPr="006D7FF8" w:rsidRDefault="00706604" w:rsidP="00C41DDB">
            <w:pPr>
              <w:rPr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:rsidR="00916A80" w:rsidRDefault="00916A80" w:rsidP="00C41DDB">
            <w:pPr>
              <w:rPr>
                <w:szCs w:val="24"/>
                <w:lang w:val="en-GB"/>
              </w:rPr>
            </w:pPr>
            <w:bookmarkStart w:id="1" w:name="_Hlk222812886"/>
          </w:p>
        </w:tc>
        <w:tc>
          <w:tcPr>
            <w:tcW w:w="3544" w:type="dxa"/>
            <w:gridSpan w:val="2"/>
          </w:tcPr>
          <w:p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16A80" w:rsidRDefault="00916A80" w:rsidP="00E3221E">
            <w:pPr>
              <w:spacing w:before="0"/>
              <w:jc w:val="both"/>
              <w:rPr>
                <w:szCs w:val="24"/>
                <w:lang w:val="en-GB"/>
              </w:rPr>
            </w:pPr>
          </w:p>
        </w:tc>
      </w:tr>
      <w:tr w:rsidR="00B307A7" w:rsidRPr="006D7FF8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1"/>
    <w:p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:rsidTr="00F8432C">
        <w:tc>
          <w:tcPr>
            <w:tcW w:w="1242" w:type="dxa"/>
          </w:tcPr>
          <w:p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444" w:rsidRDefault="00B70444">
      <w:r>
        <w:separator/>
      </w:r>
    </w:p>
  </w:endnote>
  <w:endnote w:type="continuationSeparator" w:id="0">
    <w:p w:rsidR="00B70444" w:rsidRDefault="00B7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59" w:rsidRDefault="001C7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6C3BE2">
      <w:rPr>
        <w:noProof/>
      </w:rPr>
      <w:t>CR</w:t>
    </w:r>
    <w:r w:rsidR="001C7659">
      <w:rPr>
        <w:noProof/>
      </w:rPr>
      <w:t>_SWIFT_ExtCategoryPurposeCode_v1.docx</w:t>
    </w:r>
    <w:r>
      <w:fldChar w:fldCharType="end"/>
    </w:r>
    <w:r w:rsidR="005C420B">
      <w:t xml:space="preserve">   </w:t>
    </w:r>
    <w:r>
      <w:t xml:space="preserve">Produced by </w:t>
    </w:r>
    <w:r w:rsidR="001C7659">
      <w:t>SWIFT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E280C">
      <w:rPr>
        <w:rStyle w:val="PageNumber"/>
        <w:noProof/>
      </w:rPr>
      <w:t>1</w:t>
    </w:r>
    <w:r>
      <w:rPr>
        <w:rStyle w:val="PageNumber"/>
      </w:rPr>
      <w:fldChar w:fldCharType="end"/>
    </w:r>
  </w:p>
  <w:p w:rsidR="00CC5C74" w:rsidRDefault="00CC5C74">
    <w:pPr>
      <w:pStyle w:val="Footer"/>
      <w:rPr>
        <w:rStyle w:val="PageNumber"/>
      </w:rPr>
    </w:pPr>
  </w:p>
  <w:p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59" w:rsidRDefault="001C7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444" w:rsidRDefault="00B70444">
      <w:r>
        <w:separator/>
      </w:r>
    </w:p>
  </w:footnote>
  <w:footnote w:type="continuationSeparator" w:id="0">
    <w:p w:rsidR="00B70444" w:rsidRDefault="00B7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59" w:rsidRDefault="001C7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59" w:rsidRPr="001C7659" w:rsidRDefault="001C7659">
    <w:pPr>
      <w:pStyle w:val="Header"/>
      <w:rPr>
        <w:lang w:val="en-GB"/>
      </w:rPr>
    </w:pPr>
    <w:r>
      <w:rPr>
        <w:lang w:val="en-GB"/>
      </w:rPr>
      <w:t>R</w:t>
    </w:r>
    <w:r w:rsidR="0072311B">
      <w:rPr>
        <w:lang w:val="en-GB"/>
      </w:rPr>
      <w:t>A ID: CR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659" w:rsidRDefault="001C7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5D01"/>
    <w:multiLevelType w:val="hybridMultilevel"/>
    <w:tmpl w:val="677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62437"/>
    <w:multiLevelType w:val="hybridMultilevel"/>
    <w:tmpl w:val="77CC2F06"/>
    <w:lvl w:ilvl="0" w:tplc="6A92E90E">
      <w:start w:val="1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045B9"/>
    <w:rsid w:val="000127ED"/>
    <w:rsid w:val="00013064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4AB9"/>
    <w:rsid w:val="000A172E"/>
    <w:rsid w:val="000A20E4"/>
    <w:rsid w:val="000A3B4B"/>
    <w:rsid w:val="000A3D64"/>
    <w:rsid w:val="000B65C7"/>
    <w:rsid w:val="000B693B"/>
    <w:rsid w:val="000B7406"/>
    <w:rsid w:val="000C015D"/>
    <w:rsid w:val="000E2471"/>
    <w:rsid w:val="000E7941"/>
    <w:rsid w:val="000F3C8B"/>
    <w:rsid w:val="000F43E3"/>
    <w:rsid w:val="00101212"/>
    <w:rsid w:val="00101D5F"/>
    <w:rsid w:val="00105754"/>
    <w:rsid w:val="00113E1F"/>
    <w:rsid w:val="00114F60"/>
    <w:rsid w:val="001160CD"/>
    <w:rsid w:val="0011797B"/>
    <w:rsid w:val="00142F00"/>
    <w:rsid w:val="0014379C"/>
    <w:rsid w:val="00147BC9"/>
    <w:rsid w:val="001535A9"/>
    <w:rsid w:val="00153ED1"/>
    <w:rsid w:val="00163DB3"/>
    <w:rsid w:val="00163FE1"/>
    <w:rsid w:val="001711D3"/>
    <w:rsid w:val="001817E3"/>
    <w:rsid w:val="00185453"/>
    <w:rsid w:val="001C7659"/>
    <w:rsid w:val="001D0D1B"/>
    <w:rsid w:val="001D176B"/>
    <w:rsid w:val="001D20B3"/>
    <w:rsid w:val="001D2337"/>
    <w:rsid w:val="001E287E"/>
    <w:rsid w:val="001E2B1C"/>
    <w:rsid w:val="001E3BCF"/>
    <w:rsid w:val="00217122"/>
    <w:rsid w:val="002173E1"/>
    <w:rsid w:val="00217AE9"/>
    <w:rsid w:val="00225AA9"/>
    <w:rsid w:val="00230574"/>
    <w:rsid w:val="002472D9"/>
    <w:rsid w:val="002509A2"/>
    <w:rsid w:val="002521C9"/>
    <w:rsid w:val="00255603"/>
    <w:rsid w:val="002711E6"/>
    <w:rsid w:val="00272BBF"/>
    <w:rsid w:val="00275740"/>
    <w:rsid w:val="002904C8"/>
    <w:rsid w:val="00293D8B"/>
    <w:rsid w:val="002A04E0"/>
    <w:rsid w:val="002B0567"/>
    <w:rsid w:val="002D3DBA"/>
    <w:rsid w:val="002D549A"/>
    <w:rsid w:val="002E014D"/>
    <w:rsid w:val="002E27A9"/>
    <w:rsid w:val="003006F2"/>
    <w:rsid w:val="00303E94"/>
    <w:rsid w:val="00304151"/>
    <w:rsid w:val="00316F04"/>
    <w:rsid w:val="003203D1"/>
    <w:rsid w:val="00320A89"/>
    <w:rsid w:val="00324C6F"/>
    <w:rsid w:val="00332E8F"/>
    <w:rsid w:val="00336209"/>
    <w:rsid w:val="00336ED6"/>
    <w:rsid w:val="00347542"/>
    <w:rsid w:val="00360300"/>
    <w:rsid w:val="00374F43"/>
    <w:rsid w:val="00380928"/>
    <w:rsid w:val="00382E85"/>
    <w:rsid w:val="00386B78"/>
    <w:rsid w:val="003A3D7D"/>
    <w:rsid w:val="003B261A"/>
    <w:rsid w:val="003C0213"/>
    <w:rsid w:val="003C0267"/>
    <w:rsid w:val="003C3840"/>
    <w:rsid w:val="003D2A66"/>
    <w:rsid w:val="003D54F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05DBB"/>
    <w:rsid w:val="00427966"/>
    <w:rsid w:val="0044313F"/>
    <w:rsid w:val="00446B25"/>
    <w:rsid w:val="004475F9"/>
    <w:rsid w:val="0045022C"/>
    <w:rsid w:val="00451986"/>
    <w:rsid w:val="00462051"/>
    <w:rsid w:val="00463AAE"/>
    <w:rsid w:val="00465900"/>
    <w:rsid w:val="00473145"/>
    <w:rsid w:val="0047409D"/>
    <w:rsid w:val="004A45FC"/>
    <w:rsid w:val="004B5A22"/>
    <w:rsid w:val="004C3B58"/>
    <w:rsid w:val="004C6A92"/>
    <w:rsid w:val="004E1F21"/>
    <w:rsid w:val="004E280C"/>
    <w:rsid w:val="004F0578"/>
    <w:rsid w:val="004F0934"/>
    <w:rsid w:val="004F61D5"/>
    <w:rsid w:val="0050171A"/>
    <w:rsid w:val="0051066D"/>
    <w:rsid w:val="00512D97"/>
    <w:rsid w:val="0052302E"/>
    <w:rsid w:val="00523D7E"/>
    <w:rsid w:val="005246BE"/>
    <w:rsid w:val="00526C65"/>
    <w:rsid w:val="00535049"/>
    <w:rsid w:val="00555709"/>
    <w:rsid w:val="00563FFF"/>
    <w:rsid w:val="005677B8"/>
    <w:rsid w:val="00567F13"/>
    <w:rsid w:val="00577861"/>
    <w:rsid w:val="00577BCC"/>
    <w:rsid w:val="005810CA"/>
    <w:rsid w:val="00593C6C"/>
    <w:rsid w:val="00594A5F"/>
    <w:rsid w:val="00595278"/>
    <w:rsid w:val="005960E2"/>
    <w:rsid w:val="00596453"/>
    <w:rsid w:val="005A4D67"/>
    <w:rsid w:val="005A7F37"/>
    <w:rsid w:val="005B602E"/>
    <w:rsid w:val="005C420B"/>
    <w:rsid w:val="005C4C5F"/>
    <w:rsid w:val="005C53C5"/>
    <w:rsid w:val="005D06FE"/>
    <w:rsid w:val="005E1210"/>
    <w:rsid w:val="005E27D6"/>
    <w:rsid w:val="005E3784"/>
    <w:rsid w:val="005E46E4"/>
    <w:rsid w:val="005F05DB"/>
    <w:rsid w:val="005F2E6B"/>
    <w:rsid w:val="006043A9"/>
    <w:rsid w:val="00610B1B"/>
    <w:rsid w:val="00610F9A"/>
    <w:rsid w:val="00631A43"/>
    <w:rsid w:val="00636D51"/>
    <w:rsid w:val="006643DC"/>
    <w:rsid w:val="006935EA"/>
    <w:rsid w:val="006A02BC"/>
    <w:rsid w:val="006A6C5C"/>
    <w:rsid w:val="006A7B96"/>
    <w:rsid w:val="006B0F86"/>
    <w:rsid w:val="006B20DC"/>
    <w:rsid w:val="006C3BE2"/>
    <w:rsid w:val="006D4A37"/>
    <w:rsid w:val="006F10E0"/>
    <w:rsid w:val="00702D2D"/>
    <w:rsid w:val="00706604"/>
    <w:rsid w:val="007118C4"/>
    <w:rsid w:val="0072311B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6801"/>
    <w:rsid w:val="007C7AB4"/>
    <w:rsid w:val="007C7CD2"/>
    <w:rsid w:val="007D69B5"/>
    <w:rsid w:val="007D6A9F"/>
    <w:rsid w:val="007E64D9"/>
    <w:rsid w:val="007F2C31"/>
    <w:rsid w:val="007F43B4"/>
    <w:rsid w:val="007F60C5"/>
    <w:rsid w:val="007F6A8C"/>
    <w:rsid w:val="008053F4"/>
    <w:rsid w:val="00811638"/>
    <w:rsid w:val="00812324"/>
    <w:rsid w:val="00812A48"/>
    <w:rsid w:val="00814D4C"/>
    <w:rsid w:val="00823961"/>
    <w:rsid w:val="00825052"/>
    <w:rsid w:val="008265E8"/>
    <w:rsid w:val="008270CD"/>
    <w:rsid w:val="008270DF"/>
    <w:rsid w:val="00832216"/>
    <w:rsid w:val="008355B1"/>
    <w:rsid w:val="0084123C"/>
    <w:rsid w:val="008438AF"/>
    <w:rsid w:val="00843FE8"/>
    <w:rsid w:val="00854FA6"/>
    <w:rsid w:val="0085530C"/>
    <w:rsid w:val="00861DA2"/>
    <w:rsid w:val="008656A6"/>
    <w:rsid w:val="00865C2F"/>
    <w:rsid w:val="0086676E"/>
    <w:rsid w:val="00875210"/>
    <w:rsid w:val="008869D6"/>
    <w:rsid w:val="008A0287"/>
    <w:rsid w:val="008A7F65"/>
    <w:rsid w:val="008B790F"/>
    <w:rsid w:val="008B7E43"/>
    <w:rsid w:val="008D4BB8"/>
    <w:rsid w:val="008F5C90"/>
    <w:rsid w:val="00906C6A"/>
    <w:rsid w:val="00914273"/>
    <w:rsid w:val="00916A80"/>
    <w:rsid w:val="009279BF"/>
    <w:rsid w:val="00937D26"/>
    <w:rsid w:val="00940AC0"/>
    <w:rsid w:val="00942150"/>
    <w:rsid w:val="00951C86"/>
    <w:rsid w:val="00956D7A"/>
    <w:rsid w:val="00966046"/>
    <w:rsid w:val="009770EE"/>
    <w:rsid w:val="009A1BD1"/>
    <w:rsid w:val="009C1445"/>
    <w:rsid w:val="009E1394"/>
    <w:rsid w:val="00A04BF7"/>
    <w:rsid w:val="00A04C8C"/>
    <w:rsid w:val="00A21B8D"/>
    <w:rsid w:val="00A25B84"/>
    <w:rsid w:val="00A27378"/>
    <w:rsid w:val="00A46877"/>
    <w:rsid w:val="00A47C6F"/>
    <w:rsid w:val="00A5492F"/>
    <w:rsid w:val="00A56A3F"/>
    <w:rsid w:val="00A60DC3"/>
    <w:rsid w:val="00A60E56"/>
    <w:rsid w:val="00A6469C"/>
    <w:rsid w:val="00A91F56"/>
    <w:rsid w:val="00AA1A41"/>
    <w:rsid w:val="00AA5E76"/>
    <w:rsid w:val="00AC3E77"/>
    <w:rsid w:val="00AE0A90"/>
    <w:rsid w:val="00AE4D14"/>
    <w:rsid w:val="00AF09E1"/>
    <w:rsid w:val="00AF2EBF"/>
    <w:rsid w:val="00AF320A"/>
    <w:rsid w:val="00B01132"/>
    <w:rsid w:val="00B06CA8"/>
    <w:rsid w:val="00B21761"/>
    <w:rsid w:val="00B307A7"/>
    <w:rsid w:val="00B30D86"/>
    <w:rsid w:val="00B41047"/>
    <w:rsid w:val="00B44DEE"/>
    <w:rsid w:val="00B45490"/>
    <w:rsid w:val="00B5520C"/>
    <w:rsid w:val="00B70444"/>
    <w:rsid w:val="00B70B84"/>
    <w:rsid w:val="00B778B4"/>
    <w:rsid w:val="00B8336E"/>
    <w:rsid w:val="00B865DB"/>
    <w:rsid w:val="00B921E0"/>
    <w:rsid w:val="00BA1600"/>
    <w:rsid w:val="00BA3BF4"/>
    <w:rsid w:val="00BA611B"/>
    <w:rsid w:val="00BB7F97"/>
    <w:rsid w:val="00BC4D68"/>
    <w:rsid w:val="00BD6786"/>
    <w:rsid w:val="00BE3A96"/>
    <w:rsid w:val="00C06496"/>
    <w:rsid w:val="00C122AE"/>
    <w:rsid w:val="00C1237F"/>
    <w:rsid w:val="00C17665"/>
    <w:rsid w:val="00C30551"/>
    <w:rsid w:val="00C32DF8"/>
    <w:rsid w:val="00C41DDB"/>
    <w:rsid w:val="00C46C5A"/>
    <w:rsid w:val="00C52ABE"/>
    <w:rsid w:val="00C62B03"/>
    <w:rsid w:val="00C656B1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1668C"/>
    <w:rsid w:val="00D234FD"/>
    <w:rsid w:val="00D2640B"/>
    <w:rsid w:val="00D51B61"/>
    <w:rsid w:val="00D56571"/>
    <w:rsid w:val="00D67DE0"/>
    <w:rsid w:val="00D74F66"/>
    <w:rsid w:val="00D82FBD"/>
    <w:rsid w:val="00D9138D"/>
    <w:rsid w:val="00D9338F"/>
    <w:rsid w:val="00D9582C"/>
    <w:rsid w:val="00DA043A"/>
    <w:rsid w:val="00DA116C"/>
    <w:rsid w:val="00DA22C9"/>
    <w:rsid w:val="00DB419A"/>
    <w:rsid w:val="00DB7412"/>
    <w:rsid w:val="00DC195F"/>
    <w:rsid w:val="00DC68D5"/>
    <w:rsid w:val="00DD0C76"/>
    <w:rsid w:val="00DD37B4"/>
    <w:rsid w:val="00DD422D"/>
    <w:rsid w:val="00DD4558"/>
    <w:rsid w:val="00DE360C"/>
    <w:rsid w:val="00E019E8"/>
    <w:rsid w:val="00E028B6"/>
    <w:rsid w:val="00E0329B"/>
    <w:rsid w:val="00E11D29"/>
    <w:rsid w:val="00E1588B"/>
    <w:rsid w:val="00E3221E"/>
    <w:rsid w:val="00E34A4B"/>
    <w:rsid w:val="00E5111B"/>
    <w:rsid w:val="00E61631"/>
    <w:rsid w:val="00E66708"/>
    <w:rsid w:val="00E67D1B"/>
    <w:rsid w:val="00E7537D"/>
    <w:rsid w:val="00E845AB"/>
    <w:rsid w:val="00E8579D"/>
    <w:rsid w:val="00E902A4"/>
    <w:rsid w:val="00E91512"/>
    <w:rsid w:val="00E928F1"/>
    <w:rsid w:val="00EA0A58"/>
    <w:rsid w:val="00EA246B"/>
    <w:rsid w:val="00EA3454"/>
    <w:rsid w:val="00EB2786"/>
    <w:rsid w:val="00EB589C"/>
    <w:rsid w:val="00EC2519"/>
    <w:rsid w:val="00EC4454"/>
    <w:rsid w:val="00ED1FC8"/>
    <w:rsid w:val="00ED43BB"/>
    <w:rsid w:val="00ED5814"/>
    <w:rsid w:val="00ED795F"/>
    <w:rsid w:val="00EE5699"/>
    <w:rsid w:val="00EF1E93"/>
    <w:rsid w:val="00EF3F75"/>
    <w:rsid w:val="00EF6661"/>
    <w:rsid w:val="00EF7738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38EA"/>
    <w:rsid w:val="00F8432C"/>
    <w:rsid w:val="00F87597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2261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020AB92"/>
  <w15:chartTrackingRefBased/>
  <w15:docId w15:val="{00A8EBE3-BB37-46E4-A73A-D697E133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D9138D"/>
    <w:pPr>
      <w:widowControl w:val="0"/>
      <w:spacing w:before="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A27378"/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595278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DB7412"/>
    <w:rPr>
      <w:sz w:val="20"/>
    </w:rPr>
  </w:style>
  <w:style w:type="character" w:customStyle="1" w:styleId="FootnoteTextChar">
    <w:name w:val="Footnote Text Char"/>
    <w:link w:val="FootnoteText"/>
    <w:rsid w:val="00DB7412"/>
    <w:rPr>
      <w:rFonts w:ascii="Times New Roman" w:hAnsi="Times New Roman"/>
    </w:rPr>
  </w:style>
  <w:style w:type="character" w:styleId="FootnoteReference">
    <w:name w:val="footnote reference"/>
    <w:rsid w:val="00DB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639F9-051D-429E-9CEE-324AC90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3114</CharactersWithSpaces>
  <SharedDoc>false</SharedDoc>
  <HLinks>
    <vt:vector size="18" baseType="variant">
      <vt:variant>
        <vt:i4>5767219</vt:i4>
      </vt:variant>
      <vt:variant>
        <vt:i4>6</vt:i4>
      </vt:variant>
      <vt:variant>
        <vt:i4>0</vt:i4>
      </vt:variant>
      <vt:variant>
        <vt:i4>5</vt:i4>
      </vt:variant>
      <vt:variant>
        <vt:lpwstr>mailto:neil.buchan@swift.com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HASAKA Kiyono</cp:lastModifiedBy>
  <cp:revision>2</cp:revision>
  <cp:lastPrinted>2009-03-10T12:18:00Z</cp:lastPrinted>
  <dcterms:created xsi:type="dcterms:W3CDTF">2021-09-21T10:19:00Z</dcterms:created>
  <dcterms:modified xsi:type="dcterms:W3CDTF">2021-09-21T10:19:00Z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68b825-edee-44ac-b7a2-e857f0213f31_Enabled">
    <vt:lpwstr>true</vt:lpwstr>
  </property>
  <property fmtid="{D5CDD505-2E9C-101B-9397-08002B2CF9AE}" pid="3" name="MSIP_Label_4868b825-edee-44ac-b7a2-e857f0213f31_SetDate">
    <vt:lpwstr>2021-09-20T13:38:56Z</vt:lpwstr>
  </property>
  <property fmtid="{D5CDD505-2E9C-101B-9397-08002B2CF9AE}" pid="4" name="MSIP_Label_4868b825-edee-44ac-b7a2-e857f0213f31_Method">
    <vt:lpwstr>Standard</vt:lpwstr>
  </property>
  <property fmtid="{D5CDD505-2E9C-101B-9397-08002B2CF9AE}" pid="5" name="MSIP_Label_4868b825-edee-44ac-b7a2-e857f0213f31_Name">
    <vt:lpwstr>Restricted - External</vt:lpwstr>
  </property>
  <property fmtid="{D5CDD505-2E9C-101B-9397-08002B2CF9AE}" pid="6" name="MSIP_Label_4868b825-edee-44ac-b7a2-e857f0213f31_SiteId">
    <vt:lpwstr>45b55e44-3503-4284-bbe1-0e6bf9fa1d0a</vt:lpwstr>
  </property>
  <property fmtid="{D5CDD505-2E9C-101B-9397-08002B2CF9AE}" pid="7" name="MSIP_Label_4868b825-edee-44ac-b7a2-e857f0213f31_ActionId">
    <vt:lpwstr>b367e593-a441-4def-899a-4ddbb8b6b7c7</vt:lpwstr>
  </property>
  <property fmtid="{D5CDD505-2E9C-101B-9397-08002B2CF9AE}" pid="8" name="MSIP_Label_4868b825-edee-44ac-b7a2-e857f0213f31_ContentBits">
    <vt:lpwstr>0</vt:lpwstr>
  </property>
</Properties>
</file>