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82932" w14:textId="77777777" w:rsidR="00865C2F" w:rsidRPr="00865C2F" w:rsidRDefault="00DD37B4" w:rsidP="00865C2F">
      <w:pPr>
        <w:jc w:val="center"/>
        <w:rPr>
          <w:b/>
          <w:smallCaps/>
          <w:szCs w:val="24"/>
          <w:lang w:val="en-GB"/>
        </w:rPr>
      </w:pPr>
      <w:r>
        <w:rPr>
          <w:b/>
          <w:smallCaps/>
          <w:szCs w:val="24"/>
          <w:lang w:val="en-GB"/>
        </w:rPr>
        <w:t>Change Request</w:t>
      </w:r>
    </w:p>
    <w:p w14:paraId="20915A4D"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03420E79" w14:textId="0FD64147" w:rsidR="00577BCC" w:rsidRPr="006726C0" w:rsidRDefault="00577BCC" w:rsidP="00865C2F">
      <w:pPr>
        <w:rPr>
          <w:szCs w:val="24"/>
          <w:lang w:val="en-GB"/>
        </w:rPr>
      </w:pPr>
    </w:p>
    <w:p w14:paraId="1831EAE9"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E0DB3E7" w14:textId="64062282" w:rsidR="000408BA" w:rsidRDefault="008438AF" w:rsidP="008438AF">
      <w:pPr>
        <w:rPr>
          <w:szCs w:val="24"/>
          <w:lang w:val="en-GB"/>
        </w:rPr>
      </w:pPr>
      <w:r w:rsidRPr="008438AF">
        <w:rPr>
          <w:i/>
          <w:szCs w:val="24"/>
          <w:lang w:val="en-GB"/>
        </w:rPr>
        <w:t>A.1 Submitter</w:t>
      </w:r>
      <w:r>
        <w:rPr>
          <w:szCs w:val="24"/>
          <w:lang w:val="en-GB"/>
        </w:rPr>
        <w:t xml:space="preserve">: </w:t>
      </w:r>
    </w:p>
    <w:p w14:paraId="7EBB8BCA" w14:textId="77777777" w:rsidR="00AD7BF2" w:rsidRPr="00AA2483" w:rsidRDefault="00AD7BF2" w:rsidP="008438AF">
      <w:pPr>
        <w:rPr>
          <w:color w:val="4472C4" w:themeColor="accent1"/>
          <w:szCs w:val="24"/>
          <w:lang w:val="en-GB"/>
        </w:rPr>
      </w:pPr>
      <w:r w:rsidRPr="00AA2483">
        <w:rPr>
          <w:color w:val="4472C4" w:themeColor="accent1"/>
          <w:szCs w:val="24"/>
          <w:lang w:val="en-GB"/>
        </w:rPr>
        <w:t>DESSUG CA – PSG (Deutsche SWIFT Securities Market User Group - Corporate Actions - Proxy Subgroup Germany)</w:t>
      </w:r>
    </w:p>
    <w:p w14:paraId="68E58D5D" w14:textId="77777777" w:rsidR="00AA2483" w:rsidRPr="00AA2483" w:rsidRDefault="00AA2483" w:rsidP="00AA2483">
      <w:pPr>
        <w:rPr>
          <w:color w:val="4472C4" w:themeColor="accent1"/>
          <w:szCs w:val="24"/>
          <w:lang w:val="en-GB"/>
        </w:rPr>
      </w:pPr>
      <w:r w:rsidRPr="00AA2483">
        <w:rPr>
          <w:color w:val="4472C4" w:themeColor="accent1"/>
          <w:szCs w:val="24"/>
          <w:lang w:val="en-GB"/>
        </w:rPr>
        <w:t xml:space="preserve">This group represents more than 20 different institutions including domestic and global proxy providers and registrars with a key role in the German General Meeting process. </w:t>
      </w:r>
    </w:p>
    <w:p w14:paraId="3E03A6CA" w14:textId="77777777" w:rsidR="00AA2483" w:rsidRDefault="00AA2483" w:rsidP="008438AF">
      <w:pPr>
        <w:rPr>
          <w:szCs w:val="24"/>
          <w:lang w:val="en-GB"/>
        </w:rPr>
      </w:pPr>
    </w:p>
    <w:p w14:paraId="1AA2C8C0" w14:textId="40B1FA0B"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14212A1C" w14:textId="77777777" w:rsidR="00912F60" w:rsidRDefault="00912F60" w:rsidP="00912F60">
      <w:pPr>
        <w:rPr>
          <w:color w:val="4472C4"/>
          <w:szCs w:val="24"/>
          <w:lang w:val="en-GB"/>
        </w:rPr>
      </w:pPr>
      <w:bookmarkStart w:id="0" w:name="_Hlk71718946"/>
      <w:bookmarkStart w:id="1" w:name="_Hlk70499753"/>
      <w:r>
        <w:rPr>
          <w:color w:val="4472C4"/>
          <w:szCs w:val="24"/>
          <w:lang w:val="en-GB"/>
        </w:rPr>
        <w:t xml:space="preserve">PSG Chair - Hendrik Melchior (employer change to </w:t>
      </w:r>
      <w:proofErr w:type="spellStart"/>
      <w:r>
        <w:rPr>
          <w:color w:val="4472C4"/>
          <w:szCs w:val="24"/>
          <w:lang w:val="en-GB"/>
        </w:rPr>
        <w:t>Clearstream</w:t>
      </w:r>
      <w:proofErr w:type="spellEnd"/>
      <w:r>
        <w:rPr>
          <w:color w:val="4472C4"/>
          <w:szCs w:val="24"/>
          <w:lang w:val="en-GB"/>
        </w:rPr>
        <w:t xml:space="preserve"> Banking Frankfurt in July)</w:t>
      </w:r>
      <w:bookmarkEnd w:id="0"/>
    </w:p>
    <w:p w14:paraId="2939B0D6" w14:textId="77777777" w:rsidR="00912F60" w:rsidRDefault="00912F60" w:rsidP="00912F60">
      <w:pPr>
        <w:rPr>
          <w:color w:val="4472C4"/>
          <w:szCs w:val="24"/>
          <w:lang w:val="en-GB" w:eastAsia="en-AU"/>
        </w:rPr>
      </w:pPr>
      <w:r>
        <w:rPr>
          <w:color w:val="4472C4"/>
          <w:szCs w:val="24"/>
          <w:lang w:val="en-GB"/>
        </w:rPr>
        <w:t xml:space="preserve">PSG Deputy Chair - Daniel </w:t>
      </w:r>
      <w:proofErr w:type="spellStart"/>
      <w:r>
        <w:rPr>
          <w:color w:val="4472C4"/>
          <w:szCs w:val="24"/>
          <w:lang w:val="en-GB"/>
        </w:rPr>
        <w:t>Schäfer</w:t>
      </w:r>
      <w:proofErr w:type="spellEnd"/>
      <w:r>
        <w:rPr>
          <w:color w:val="4472C4"/>
          <w:szCs w:val="24"/>
          <w:lang w:val="en-GB"/>
        </w:rPr>
        <w:t xml:space="preserve">, </w:t>
      </w:r>
      <w:hyperlink r:id="rId10" w:history="1">
        <w:r>
          <w:rPr>
            <w:rStyle w:val="Hyperlink"/>
            <w:color w:val="4472C4"/>
            <w:szCs w:val="24"/>
            <w:lang w:val="en-GB" w:eastAsia="en-AU"/>
          </w:rPr>
          <w:t>Daniel.Schaefer@hsbc.de</w:t>
        </w:r>
      </w:hyperlink>
      <w:r>
        <w:rPr>
          <w:color w:val="4472C4"/>
          <w:szCs w:val="24"/>
          <w:lang w:val="en-GB" w:eastAsia="en-AU"/>
        </w:rPr>
        <w:t>, Phone +49 211 910-2362</w:t>
      </w:r>
    </w:p>
    <w:p w14:paraId="2541BC0A" w14:textId="77777777" w:rsidR="00912F60" w:rsidRDefault="00912F60" w:rsidP="00912F60">
      <w:pPr>
        <w:rPr>
          <w:color w:val="4472C4" w:themeColor="accent1"/>
          <w:szCs w:val="24"/>
          <w:lang w:val="en-GB"/>
        </w:rPr>
      </w:pPr>
      <w:r>
        <w:rPr>
          <w:color w:val="4472C4" w:themeColor="accent1"/>
          <w:szCs w:val="24"/>
          <w:lang w:val="en-GB"/>
        </w:rPr>
        <w:t xml:space="preserve">Sabine Wolff, </w:t>
      </w:r>
      <w:hyperlink r:id="rId11" w:history="1">
        <w:r>
          <w:rPr>
            <w:rStyle w:val="Hyperlink"/>
            <w:color w:val="4472C4" w:themeColor="accent1"/>
            <w:szCs w:val="24"/>
            <w:lang w:val="en-GB" w:eastAsia="en-GB"/>
          </w:rPr>
          <w:t>Sabine.Wolff@clearstream.com</w:t>
        </w:r>
      </w:hyperlink>
      <w:r>
        <w:rPr>
          <w:color w:val="4472C4" w:themeColor="accent1"/>
          <w:szCs w:val="24"/>
          <w:lang w:val="en-GB" w:eastAsia="en-GB"/>
        </w:rPr>
        <w:t>, Phone +352-243-3 66 40</w:t>
      </w:r>
    </w:p>
    <w:p w14:paraId="65D78B3F" w14:textId="77777777" w:rsidR="00912F60" w:rsidRDefault="00912F60" w:rsidP="00912F60">
      <w:pPr>
        <w:rPr>
          <w:color w:val="4472C4"/>
          <w:szCs w:val="24"/>
          <w:lang w:val="en-GB"/>
        </w:rPr>
      </w:pPr>
      <w:r>
        <w:rPr>
          <w:color w:val="4472C4"/>
          <w:szCs w:val="24"/>
          <w:lang w:val="en-GB"/>
        </w:rPr>
        <w:t xml:space="preserve">SEG GM-ET Member (Germany) - Sven </w:t>
      </w:r>
      <w:proofErr w:type="spellStart"/>
      <w:r>
        <w:rPr>
          <w:color w:val="4472C4"/>
          <w:szCs w:val="24"/>
          <w:lang w:val="en-GB"/>
        </w:rPr>
        <w:t>Gunkel</w:t>
      </w:r>
      <w:proofErr w:type="spellEnd"/>
      <w:r>
        <w:rPr>
          <w:color w:val="4472C4"/>
          <w:szCs w:val="24"/>
          <w:lang w:val="en-GB"/>
        </w:rPr>
        <w:t xml:space="preserve">, </w:t>
      </w:r>
      <w:hyperlink r:id="rId12" w:history="1">
        <w:r>
          <w:rPr>
            <w:rStyle w:val="Hyperlink"/>
            <w:color w:val="4472C4"/>
            <w:szCs w:val="24"/>
            <w:lang w:val="en-GB"/>
          </w:rPr>
          <w:t>sven-a.gunkel@db.com</w:t>
        </w:r>
      </w:hyperlink>
      <w:r>
        <w:rPr>
          <w:color w:val="4472C4"/>
          <w:szCs w:val="24"/>
          <w:lang w:val="en-GB"/>
        </w:rPr>
        <w:t>, Phone +49 69910-60715</w:t>
      </w:r>
    </w:p>
    <w:p w14:paraId="1905D1E5" w14:textId="77777777" w:rsidR="00912F60" w:rsidRDefault="00912F60" w:rsidP="00912F60">
      <w:pPr>
        <w:rPr>
          <w:color w:val="4472C4"/>
          <w:szCs w:val="24"/>
          <w:lang w:val="en-GB"/>
        </w:rPr>
      </w:pPr>
      <w:r>
        <w:rPr>
          <w:color w:val="4472C4"/>
          <w:szCs w:val="24"/>
          <w:lang w:val="en-GB"/>
        </w:rPr>
        <w:t xml:space="preserve">SEG GM-ET Member (Germany) - Rainer Prior, </w:t>
      </w:r>
      <w:hyperlink r:id="rId13" w:history="1">
        <w:r>
          <w:rPr>
            <w:rStyle w:val="Hyperlink"/>
            <w:color w:val="4472C4"/>
            <w:szCs w:val="24"/>
            <w:lang w:val="en-GB"/>
          </w:rPr>
          <w:t>Rainer.Prior@linkmarketservices.de</w:t>
        </w:r>
      </w:hyperlink>
      <w:r>
        <w:rPr>
          <w:color w:val="4472C4"/>
          <w:szCs w:val="24"/>
          <w:lang w:val="en-GB"/>
        </w:rPr>
        <w:t>, Phone +49 6196 8870 514</w:t>
      </w:r>
    </w:p>
    <w:p w14:paraId="412062B8" w14:textId="77777777" w:rsidR="00AA2483" w:rsidRPr="00EB1A1A" w:rsidRDefault="00AA2483" w:rsidP="008438AF">
      <w:pPr>
        <w:rPr>
          <w:szCs w:val="24"/>
          <w:lang w:val="en-GB"/>
        </w:rPr>
      </w:pPr>
    </w:p>
    <w:bookmarkEnd w:id="1"/>
    <w:p w14:paraId="2A2EE9ED" w14:textId="6AD00256" w:rsidR="00577BCC" w:rsidRDefault="008438AF" w:rsidP="008438AF">
      <w:pPr>
        <w:rPr>
          <w:szCs w:val="24"/>
          <w:lang w:val="en-GB"/>
        </w:rPr>
      </w:pPr>
      <w:r w:rsidRPr="00EB1A1A">
        <w:rPr>
          <w:i/>
          <w:szCs w:val="24"/>
          <w:lang w:val="en-GB"/>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44D5B9B7" w14:textId="77777777" w:rsidR="009A4E41" w:rsidRDefault="009A4E41" w:rsidP="009A4E41">
      <w:pPr>
        <w:rPr>
          <w:color w:val="4472C4"/>
          <w:szCs w:val="24"/>
          <w:lang w:val="en-GB"/>
        </w:rPr>
      </w:pPr>
      <w:bookmarkStart w:id="2" w:name="_Hlk71719968"/>
      <w:r>
        <w:rPr>
          <w:color w:val="4472C4" w:themeColor="accent1"/>
          <w:szCs w:val="24"/>
          <w:lang w:val="en-GB"/>
        </w:rPr>
        <w:t xml:space="preserve">German Market </w:t>
      </w:r>
      <w:r>
        <w:rPr>
          <w:color w:val="4472C4"/>
          <w:szCs w:val="24"/>
          <w:lang w:val="en-GB"/>
        </w:rPr>
        <w:t>- including domestic and global proxy providers with a key role in the German General Meeting process.</w:t>
      </w:r>
    </w:p>
    <w:bookmarkEnd w:id="2"/>
    <w:p w14:paraId="3DA8FE1F" w14:textId="74896CD0" w:rsidR="003123E2" w:rsidRDefault="009A4E41" w:rsidP="008438AF">
      <w:pPr>
        <w:rPr>
          <w:szCs w:val="24"/>
          <w:lang w:val="en-GB"/>
        </w:rPr>
      </w:pPr>
      <w:r>
        <w:rPr>
          <w:noProof/>
          <w:lang w:val="en-GB" w:eastAsia="en-GB"/>
        </w:rPr>
        <w:lastRenderedPageBreak/>
        <w:drawing>
          <wp:inline distT="0" distB="0" distL="0" distR="0" wp14:anchorId="77696B76" wp14:editId="743E37AF">
            <wp:extent cx="5701030" cy="3239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1030" cy="3239770"/>
                    </a:xfrm>
                    <a:prstGeom prst="rect">
                      <a:avLst/>
                    </a:prstGeom>
                  </pic:spPr>
                </pic:pic>
              </a:graphicData>
            </a:graphic>
          </wp:inline>
        </w:drawing>
      </w:r>
    </w:p>
    <w:p w14:paraId="1729AEDA" w14:textId="56621996" w:rsidR="00854FA6" w:rsidRDefault="00854FA6" w:rsidP="00854FA6">
      <w:pPr>
        <w:numPr>
          <w:ilvl w:val="0"/>
          <w:numId w:val="6"/>
        </w:numPr>
        <w:rPr>
          <w:b/>
          <w:lang w:val="en-GB"/>
        </w:rPr>
      </w:pPr>
      <w:r>
        <w:rPr>
          <w:b/>
          <w:lang w:val="en-GB"/>
        </w:rPr>
        <w:t>Related m</w:t>
      </w:r>
      <w:r w:rsidRPr="00451986">
        <w:rPr>
          <w:b/>
          <w:lang w:val="en-GB"/>
        </w:rPr>
        <w:t>essages:</w:t>
      </w:r>
    </w:p>
    <w:p w14:paraId="4761D268" w14:textId="21487C0F" w:rsidR="00F87B06" w:rsidRPr="006726C0" w:rsidRDefault="0056096D" w:rsidP="00854FA6">
      <w:pPr>
        <w:rPr>
          <w:color w:val="4472C4" w:themeColor="accent1"/>
          <w:szCs w:val="24"/>
          <w:lang w:val="en-GB"/>
        </w:rPr>
      </w:pPr>
      <w:r w:rsidRPr="00AA2483">
        <w:rPr>
          <w:color w:val="4472C4" w:themeColor="accent1"/>
          <w:szCs w:val="24"/>
          <w:lang w:val="en-GB"/>
        </w:rPr>
        <w:t>Seev.003.xxx.xxx</w:t>
      </w:r>
    </w:p>
    <w:p w14:paraId="6C62B84B" w14:textId="77777777" w:rsidR="00AA2483" w:rsidRPr="00451986" w:rsidRDefault="00AA2483" w:rsidP="00854FA6">
      <w:pPr>
        <w:rPr>
          <w:b/>
          <w:lang w:val="en-GB"/>
        </w:rPr>
      </w:pPr>
    </w:p>
    <w:p w14:paraId="0ED1C6BC" w14:textId="77777777" w:rsidR="00854FA6" w:rsidRDefault="006D4A37" w:rsidP="00854FA6">
      <w:pPr>
        <w:numPr>
          <w:ilvl w:val="0"/>
          <w:numId w:val="6"/>
        </w:numPr>
        <w:rPr>
          <w:lang w:val="en-GB"/>
        </w:rPr>
      </w:pPr>
      <w:r>
        <w:rPr>
          <w:b/>
          <w:lang w:val="en-GB"/>
        </w:rPr>
        <w:t>Description of the change request:</w:t>
      </w:r>
    </w:p>
    <w:p w14:paraId="62D34762" w14:textId="630C0198" w:rsidR="005F5BB9" w:rsidRDefault="00C428A4" w:rsidP="005F5BB9">
      <w:pPr>
        <w:rPr>
          <w:color w:val="4472C4" w:themeColor="accent1"/>
          <w:szCs w:val="24"/>
          <w:lang w:val="en-GB"/>
        </w:rPr>
      </w:pPr>
      <w:bookmarkStart w:id="3" w:name="_Hlk71721320"/>
      <w:r>
        <w:rPr>
          <w:rFonts w:eastAsia="Times New Roman"/>
          <w:color w:val="4472C4"/>
        </w:rPr>
        <w:t>Two types of share classes are represented on the German market</w:t>
      </w:r>
      <w:bookmarkEnd w:id="3"/>
      <w:proofErr w:type="gramStart"/>
      <w:r>
        <w:rPr>
          <w:rFonts w:eastAsia="Times New Roman"/>
          <w:color w:val="4472C4"/>
        </w:rPr>
        <w:t>.</w:t>
      </w:r>
      <w:r w:rsidR="005F5BB9">
        <w:rPr>
          <w:color w:val="4472C4" w:themeColor="accent1"/>
          <w:szCs w:val="24"/>
          <w:lang w:val="en-GB"/>
        </w:rPr>
        <w:t>.</w:t>
      </w:r>
      <w:proofErr w:type="gramEnd"/>
      <w:r w:rsidR="005F5BB9">
        <w:rPr>
          <w:color w:val="4472C4" w:themeColor="accent1"/>
          <w:szCs w:val="24"/>
          <w:lang w:val="en-GB"/>
        </w:rPr>
        <w:t xml:space="preserve"> Bearer Shares and Registered Shares. The market working group has identified a limitation of the current messages to support Proxy services for Registered Shares. </w:t>
      </w:r>
    </w:p>
    <w:p w14:paraId="1222D7E5" w14:textId="77777777" w:rsidR="005F5BB9" w:rsidRDefault="005F5BB9" w:rsidP="000408BA">
      <w:pPr>
        <w:rPr>
          <w:color w:val="4472C4" w:themeColor="accent1"/>
          <w:szCs w:val="24"/>
          <w:lang w:val="en-GB"/>
        </w:rPr>
      </w:pPr>
    </w:p>
    <w:p w14:paraId="20CF4DD5" w14:textId="5DC120DD" w:rsidR="0056096D" w:rsidRPr="00AA2483" w:rsidRDefault="00E92C21" w:rsidP="000408BA">
      <w:pPr>
        <w:rPr>
          <w:color w:val="4472C4" w:themeColor="accent1"/>
          <w:szCs w:val="24"/>
          <w:lang w:val="en-GB"/>
        </w:rPr>
      </w:pPr>
      <w:r w:rsidRPr="00AA2483">
        <w:rPr>
          <w:color w:val="4472C4" w:themeColor="accent1"/>
          <w:szCs w:val="24"/>
          <w:lang w:val="en-GB"/>
        </w:rPr>
        <w:t>The Balance Type &lt;</w:t>
      </w:r>
      <w:proofErr w:type="spellStart"/>
      <w:r w:rsidRPr="00AA2483">
        <w:rPr>
          <w:color w:val="4472C4" w:themeColor="accent1"/>
          <w:szCs w:val="24"/>
          <w:lang w:val="en-GB"/>
        </w:rPr>
        <w:t>BalTp</w:t>
      </w:r>
      <w:proofErr w:type="spellEnd"/>
      <w:r w:rsidRPr="00AA2483">
        <w:rPr>
          <w:color w:val="4472C4" w:themeColor="accent1"/>
          <w:szCs w:val="24"/>
          <w:lang w:val="en-GB"/>
        </w:rPr>
        <w:t>&gt; Registered</w:t>
      </w:r>
      <w:r w:rsidR="00423B13" w:rsidRPr="00AA2483">
        <w:rPr>
          <w:color w:val="4472C4" w:themeColor="accent1"/>
          <w:szCs w:val="24"/>
          <w:lang w:val="en-GB"/>
        </w:rPr>
        <w:t xml:space="preserve"> [NOMI]</w:t>
      </w:r>
      <w:r w:rsidRPr="00AA2483">
        <w:rPr>
          <w:color w:val="4472C4" w:themeColor="accent1"/>
          <w:szCs w:val="24"/>
          <w:lang w:val="en-GB"/>
        </w:rPr>
        <w:t xml:space="preserve"> should be split into two different types to distinguish between a registration in the name of a nominee and in the name of the beneficial owner. </w:t>
      </w:r>
    </w:p>
    <w:p w14:paraId="4BE9B3CD" w14:textId="77777777" w:rsidR="00E92C21" w:rsidRPr="00AA2483" w:rsidRDefault="00E92C21" w:rsidP="000408BA">
      <w:pPr>
        <w:rPr>
          <w:color w:val="4472C4" w:themeColor="accent1"/>
          <w:szCs w:val="24"/>
          <w:lang w:val="en-GB"/>
        </w:rPr>
      </w:pPr>
    </w:p>
    <w:p w14:paraId="5FA3ADFE" w14:textId="77777777" w:rsidR="0056096D" w:rsidRPr="00AA2483" w:rsidRDefault="0056096D" w:rsidP="000408BA">
      <w:pPr>
        <w:rPr>
          <w:color w:val="4472C4" w:themeColor="accent1"/>
          <w:szCs w:val="24"/>
          <w:lang w:val="en-GB"/>
        </w:rPr>
      </w:pPr>
      <w:r w:rsidRPr="00AA2483">
        <w:rPr>
          <w:color w:val="4472C4" w:themeColor="accent1"/>
          <w:szCs w:val="24"/>
          <w:u w:val="single"/>
          <w:lang w:val="en-GB"/>
        </w:rPr>
        <w:t>Current</w:t>
      </w:r>
      <w:r w:rsidRPr="00AA2483">
        <w:rPr>
          <w:color w:val="4472C4" w:themeColor="accent1"/>
          <w:szCs w:val="24"/>
          <w:lang w:val="en-GB"/>
        </w:rPr>
        <w:t xml:space="preserve">: Description of Balance Type “Registered NOMI” </w:t>
      </w:r>
    </w:p>
    <w:p w14:paraId="2556C00B" w14:textId="4CCCF91C" w:rsidR="0056096D" w:rsidRDefault="0056096D" w:rsidP="000408BA">
      <w:pPr>
        <w:rPr>
          <w:color w:val="4472C4" w:themeColor="accent1"/>
          <w:szCs w:val="24"/>
          <w:lang w:val="en-GB"/>
        </w:rPr>
      </w:pPr>
      <w:r w:rsidRPr="00AA2483">
        <w:rPr>
          <w:color w:val="4472C4" w:themeColor="accent1"/>
          <w:szCs w:val="24"/>
          <w:lang w:val="en-GB"/>
        </w:rPr>
        <w:t>Balance of securities that are registered (in the name of a nominee or of the beneficial owner).</w:t>
      </w:r>
    </w:p>
    <w:p w14:paraId="6E7D9756" w14:textId="77777777" w:rsidR="00AA2483" w:rsidRPr="00AA2483" w:rsidRDefault="00AA2483" w:rsidP="000408BA">
      <w:pPr>
        <w:rPr>
          <w:color w:val="4472C4" w:themeColor="accent1"/>
          <w:szCs w:val="24"/>
          <w:lang w:val="en-GB"/>
        </w:rPr>
      </w:pPr>
    </w:p>
    <w:p w14:paraId="0C122683" w14:textId="77777777" w:rsidR="0056096D" w:rsidRPr="00AA2483" w:rsidRDefault="0056096D" w:rsidP="0056096D">
      <w:pPr>
        <w:rPr>
          <w:color w:val="4472C4" w:themeColor="accent1"/>
          <w:szCs w:val="24"/>
          <w:lang w:val="en-GB"/>
        </w:rPr>
      </w:pPr>
      <w:r w:rsidRPr="00AA2483">
        <w:rPr>
          <w:color w:val="4472C4" w:themeColor="accent1"/>
          <w:szCs w:val="24"/>
          <w:u w:val="single"/>
          <w:lang w:val="en-GB"/>
        </w:rPr>
        <w:t>Definition Change Request:</w:t>
      </w:r>
      <w:r w:rsidRPr="00AA2483">
        <w:rPr>
          <w:color w:val="4472C4" w:themeColor="accent1"/>
          <w:szCs w:val="24"/>
          <w:lang w:val="en-GB"/>
        </w:rPr>
        <w:t xml:space="preserve"> Description of Balance Type </w:t>
      </w:r>
      <w:r w:rsidR="00E92C21" w:rsidRPr="00AA2483">
        <w:rPr>
          <w:color w:val="4472C4" w:themeColor="accent1"/>
          <w:szCs w:val="24"/>
          <w:lang w:val="en-GB"/>
        </w:rPr>
        <w:t>&lt;</w:t>
      </w:r>
      <w:proofErr w:type="spellStart"/>
      <w:r w:rsidR="00E92C21" w:rsidRPr="00AA2483">
        <w:rPr>
          <w:color w:val="4472C4" w:themeColor="accent1"/>
          <w:szCs w:val="24"/>
          <w:lang w:val="en-GB"/>
        </w:rPr>
        <w:t>BalTp</w:t>
      </w:r>
      <w:proofErr w:type="spellEnd"/>
      <w:r w:rsidR="00E92C21" w:rsidRPr="00AA2483">
        <w:rPr>
          <w:color w:val="4472C4" w:themeColor="accent1"/>
          <w:szCs w:val="24"/>
          <w:lang w:val="en-GB"/>
        </w:rPr>
        <w:t xml:space="preserve">&gt; </w:t>
      </w:r>
      <w:r w:rsidRPr="00AA2483">
        <w:rPr>
          <w:color w:val="4472C4" w:themeColor="accent1"/>
          <w:szCs w:val="24"/>
          <w:lang w:val="en-GB"/>
        </w:rPr>
        <w:t>“Registered</w:t>
      </w:r>
      <w:r w:rsidR="00E92C21" w:rsidRPr="00AA2483">
        <w:rPr>
          <w:color w:val="4472C4" w:themeColor="accent1"/>
          <w:szCs w:val="24"/>
          <w:lang w:val="en-GB"/>
        </w:rPr>
        <w:t xml:space="preserve"> Nominee - </w:t>
      </w:r>
      <w:r w:rsidRPr="00AA2483">
        <w:rPr>
          <w:color w:val="4472C4" w:themeColor="accent1"/>
          <w:szCs w:val="24"/>
          <w:lang w:val="en-GB"/>
        </w:rPr>
        <w:t>NOMI” should be Balance of securities that are registered in the name of a nominee.</w:t>
      </w:r>
    </w:p>
    <w:p w14:paraId="6CD252A5" w14:textId="77777777" w:rsidR="00AA2483" w:rsidRDefault="00AA2483" w:rsidP="000408BA">
      <w:pPr>
        <w:rPr>
          <w:color w:val="4472C4" w:themeColor="accent1"/>
          <w:szCs w:val="24"/>
          <w:u w:val="single"/>
          <w:lang w:val="en-GB"/>
        </w:rPr>
      </w:pPr>
    </w:p>
    <w:p w14:paraId="2F5C3221" w14:textId="6323BB39" w:rsidR="0056096D" w:rsidRPr="00AA2483" w:rsidRDefault="0056096D" w:rsidP="000408BA">
      <w:pPr>
        <w:rPr>
          <w:color w:val="4472C4" w:themeColor="accent1"/>
          <w:szCs w:val="24"/>
          <w:lang w:val="en-GB"/>
        </w:rPr>
      </w:pPr>
      <w:r w:rsidRPr="00AA2483">
        <w:rPr>
          <w:color w:val="4472C4" w:themeColor="accent1"/>
          <w:szCs w:val="24"/>
          <w:u w:val="single"/>
          <w:lang w:val="en-GB"/>
        </w:rPr>
        <w:t>New Balance Type</w:t>
      </w:r>
      <w:r w:rsidR="00E92C21" w:rsidRPr="00AA2483">
        <w:rPr>
          <w:color w:val="4472C4" w:themeColor="accent1"/>
          <w:szCs w:val="24"/>
          <w:u w:val="single"/>
          <w:lang w:val="en-GB"/>
        </w:rPr>
        <w:t xml:space="preserve"> &lt;</w:t>
      </w:r>
      <w:proofErr w:type="spellStart"/>
      <w:r w:rsidR="00E92C21" w:rsidRPr="00AA2483">
        <w:rPr>
          <w:color w:val="4472C4" w:themeColor="accent1"/>
          <w:szCs w:val="24"/>
          <w:u w:val="single"/>
          <w:lang w:val="en-GB"/>
        </w:rPr>
        <w:t>BalTp</w:t>
      </w:r>
      <w:proofErr w:type="spellEnd"/>
      <w:r w:rsidR="00E92C21" w:rsidRPr="00AA2483">
        <w:rPr>
          <w:color w:val="4472C4" w:themeColor="accent1"/>
          <w:szCs w:val="24"/>
          <w:u w:val="single"/>
          <w:lang w:val="en-GB"/>
        </w:rPr>
        <w:t>&gt;</w:t>
      </w:r>
      <w:r w:rsidRPr="00AA2483">
        <w:rPr>
          <w:color w:val="4472C4" w:themeColor="accent1"/>
          <w:szCs w:val="24"/>
          <w:u w:val="single"/>
          <w:lang w:val="en-GB"/>
        </w:rPr>
        <w:t>:</w:t>
      </w:r>
      <w:r w:rsidRPr="00AA2483">
        <w:rPr>
          <w:color w:val="4472C4" w:themeColor="accent1"/>
          <w:szCs w:val="24"/>
          <w:lang w:val="en-GB"/>
        </w:rPr>
        <w:t xml:space="preserve"> “Registered </w:t>
      </w:r>
      <w:r w:rsidR="00E92C21" w:rsidRPr="00AA2483">
        <w:rPr>
          <w:color w:val="4472C4" w:themeColor="accent1"/>
          <w:szCs w:val="24"/>
          <w:lang w:val="en-GB"/>
        </w:rPr>
        <w:t xml:space="preserve">Beneficial Owner - </w:t>
      </w:r>
      <w:r w:rsidRPr="00AA2483">
        <w:rPr>
          <w:color w:val="4472C4" w:themeColor="accent1"/>
          <w:szCs w:val="24"/>
          <w:lang w:val="en-GB"/>
        </w:rPr>
        <w:t>BENE” with description</w:t>
      </w:r>
    </w:p>
    <w:p w14:paraId="7EFBDAD9" w14:textId="77777777" w:rsidR="0056096D" w:rsidRPr="00AA2483" w:rsidRDefault="0056096D" w:rsidP="000408BA">
      <w:pPr>
        <w:rPr>
          <w:color w:val="4472C4" w:themeColor="accent1"/>
          <w:szCs w:val="24"/>
          <w:lang w:val="en-GB"/>
        </w:rPr>
      </w:pPr>
      <w:r w:rsidRPr="00AA2483">
        <w:rPr>
          <w:color w:val="4472C4" w:themeColor="accent1"/>
          <w:szCs w:val="24"/>
          <w:lang w:val="en-GB"/>
        </w:rPr>
        <w:t>Balance of securities that are registered in the name of the beneficial owner.</w:t>
      </w:r>
    </w:p>
    <w:p w14:paraId="74CD8B41" w14:textId="77777777" w:rsidR="00AA2483" w:rsidRDefault="00AA2483" w:rsidP="000408BA">
      <w:pPr>
        <w:rPr>
          <w:color w:val="4472C4" w:themeColor="accent1"/>
          <w:szCs w:val="24"/>
          <w:u w:val="single"/>
          <w:lang w:val="en-GB"/>
        </w:rPr>
      </w:pPr>
    </w:p>
    <w:p w14:paraId="1F07C63F" w14:textId="5BB97515" w:rsidR="0056096D" w:rsidRPr="00AA2483" w:rsidRDefault="00E92C21" w:rsidP="000408BA">
      <w:pPr>
        <w:rPr>
          <w:color w:val="4472C4" w:themeColor="accent1"/>
          <w:szCs w:val="24"/>
          <w:lang w:val="en-GB"/>
        </w:rPr>
      </w:pPr>
      <w:r w:rsidRPr="00AA2483">
        <w:rPr>
          <w:color w:val="4472C4" w:themeColor="accent1"/>
          <w:szCs w:val="24"/>
          <w:u w:val="single"/>
          <w:lang w:val="en-GB"/>
        </w:rPr>
        <w:t xml:space="preserve">Change to Holding Balance </w:t>
      </w:r>
      <w:r w:rsidRPr="00AA2483">
        <w:rPr>
          <w:color w:val="4472C4" w:themeColor="accent1"/>
          <w:szCs w:val="24"/>
          <w:lang w:val="en-GB"/>
        </w:rPr>
        <w:t>&lt;</w:t>
      </w:r>
      <w:proofErr w:type="spellStart"/>
      <w:r w:rsidRPr="00AA2483">
        <w:rPr>
          <w:color w:val="4472C4" w:themeColor="accent1"/>
          <w:szCs w:val="24"/>
          <w:lang w:val="en-GB"/>
        </w:rPr>
        <w:t>HldgBal</w:t>
      </w:r>
      <w:proofErr w:type="spellEnd"/>
      <w:r w:rsidRPr="00AA2483">
        <w:rPr>
          <w:color w:val="4472C4" w:themeColor="accent1"/>
          <w:szCs w:val="24"/>
          <w:lang w:val="en-GB"/>
        </w:rPr>
        <w:t>&gt;: The repetition will increase by 1 to 0</w:t>
      </w:r>
      <w:proofErr w:type="gramStart"/>
      <w:r w:rsidRPr="00AA2483">
        <w:rPr>
          <w:color w:val="4472C4" w:themeColor="accent1"/>
          <w:szCs w:val="24"/>
          <w:lang w:val="en-GB"/>
        </w:rPr>
        <w:t>..16</w:t>
      </w:r>
      <w:proofErr w:type="gramEnd"/>
      <w:r w:rsidRPr="00AA2483">
        <w:rPr>
          <w:color w:val="4472C4" w:themeColor="accent1"/>
          <w:szCs w:val="24"/>
          <w:lang w:val="en-GB"/>
        </w:rPr>
        <w:t xml:space="preserve">. </w:t>
      </w:r>
    </w:p>
    <w:p w14:paraId="084D2BD8" w14:textId="2244F695" w:rsidR="00E92C21" w:rsidRPr="00AA2483" w:rsidRDefault="00E92C21" w:rsidP="000408BA">
      <w:pPr>
        <w:rPr>
          <w:color w:val="4472C4" w:themeColor="accent1"/>
          <w:szCs w:val="24"/>
          <w:lang w:val="en-GB"/>
        </w:rPr>
      </w:pPr>
    </w:p>
    <w:p w14:paraId="13979F7D" w14:textId="7A7E0D3A" w:rsidR="0056096D" w:rsidRPr="00AA2483" w:rsidRDefault="0056096D" w:rsidP="0056096D">
      <w:pPr>
        <w:rPr>
          <w:color w:val="4472C4" w:themeColor="accent1"/>
          <w:szCs w:val="24"/>
          <w:lang w:val="en-GB"/>
        </w:rPr>
      </w:pPr>
      <w:r w:rsidRPr="00AA2483">
        <w:rPr>
          <w:color w:val="4472C4" w:themeColor="accent1"/>
          <w:szCs w:val="24"/>
          <w:lang w:val="en-GB"/>
        </w:rPr>
        <w:t xml:space="preserve">            Holding Balance</w:t>
      </w:r>
      <w:r w:rsidRPr="00AA2483">
        <w:rPr>
          <w:color w:val="4472C4" w:themeColor="accent1"/>
          <w:szCs w:val="24"/>
          <w:lang w:val="en-GB"/>
        </w:rPr>
        <w:tab/>
        <w:t>&lt;</w:t>
      </w:r>
      <w:proofErr w:type="spellStart"/>
      <w:r w:rsidRPr="00AA2483">
        <w:rPr>
          <w:color w:val="4472C4" w:themeColor="accent1"/>
          <w:szCs w:val="24"/>
          <w:lang w:val="en-GB"/>
        </w:rPr>
        <w:t>HldgBal</w:t>
      </w:r>
      <w:proofErr w:type="spellEnd"/>
      <w:r w:rsidRPr="00AA2483">
        <w:rPr>
          <w:color w:val="4472C4" w:themeColor="accent1"/>
          <w:szCs w:val="24"/>
          <w:lang w:val="en-GB"/>
        </w:rPr>
        <w:t>&gt;</w:t>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[0</w:t>
      </w:r>
      <w:proofErr w:type="gramStart"/>
      <w:r w:rsidRPr="00AA2483">
        <w:rPr>
          <w:color w:val="4472C4" w:themeColor="accent1"/>
          <w:szCs w:val="24"/>
          <w:lang w:val="en-GB"/>
        </w:rPr>
        <w:t>..</w:t>
      </w:r>
      <w:r w:rsidR="00E92C21" w:rsidRPr="00AA2483">
        <w:rPr>
          <w:color w:val="4472C4" w:themeColor="accent1"/>
          <w:szCs w:val="24"/>
          <w:lang w:val="en-GB"/>
        </w:rPr>
        <w:t>16</w:t>
      </w:r>
      <w:proofErr w:type="gramEnd"/>
      <w:r w:rsidRPr="00AA2483">
        <w:rPr>
          <w:color w:val="4472C4" w:themeColor="accent1"/>
          <w:szCs w:val="24"/>
          <w:lang w:val="en-GB"/>
        </w:rPr>
        <w:t>]</w:t>
      </w:r>
      <w:r w:rsidRPr="00AA2483">
        <w:rPr>
          <w:color w:val="4472C4" w:themeColor="accent1"/>
          <w:szCs w:val="24"/>
          <w:lang w:val="en-GB"/>
        </w:rPr>
        <w:tab/>
      </w:r>
    </w:p>
    <w:p w14:paraId="3ACE43B8" w14:textId="08DBFCCE" w:rsidR="0056096D" w:rsidRPr="00AA2483" w:rsidRDefault="0056096D" w:rsidP="0056096D">
      <w:pPr>
        <w:rPr>
          <w:color w:val="4472C4" w:themeColor="accent1"/>
          <w:szCs w:val="24"/>
          <w:lang w:val="en-GB"/>
        </w:rPr>
      </w:pPr>
      <w:r w:rsidRPr="00AA2483">
        <w:rPr>
          <w:color w:val="4472C4" w:themeColor="accent1"/>
          <w:szCs w:val="24"/>
          <w:lang w:val="en-GB"/>
        </w:rPr>
        <w:t xml:space="preserve">                Balance</w:t>
      </w:r>
      <w:r w:rsidRPr="00AA2483">
        <w:rPr>
          <w:color w:val="4472C4" w:themeColor="accent1"/>
          <w:szCs w:val="24"/>
          <w:lang w:val="en-GB"/>
        </w:rPr>
        <w:tab/>
      </w:r>
      <w:r w:rsidRPr="00AA2483">
        <w:rPr>
          <w:color w:val="4472C4" w:themeColor="accent1"/>
          <w:szCs w:val="24"/>
          <w:lang w:val="en-GB"/>
        </w:rPr>
        <w:tab/>
        <w:t>&lt;Bal&gt;</w:t>
      </w:r>
      <w:r w:rsidRPr="00AA2483">
        <w:rPr>
          <w:color w:val="4472C4" w:themeColor="accent1"/>
          <w:szCs w:val="24"/>
          <w:lang w:val="en-GB"/>
        </w:rPr>
        <w:tab/>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[1</w:t>
      </w:r>
      <w:proofErr w:type="gramStart"/>
      <w:r w:rsidRPr="00AA2483">
        <w:rPr>
          <w:color w:val="4472C4" w:themeColor="accent1"/>
          <w:szCs w:val="24"/>
          <w:lang w:val="en-GB"/>
        </w:rPr>
        <w:t>..1</w:t>
      </w:r>
      <w:proofErr w:type="gramEnd"/>
      <w:r w:rsidRPr="00AA2483">
        <w:rPr>
          <w:color w:val="4472C4" w:themeColor="accent1"/>
          <w:szCs w:val="24"/>
          <w:lang w:val="en-GB"/>
        </w:rPr>
        <w:t>]</w:t>
      </w:r>
      <w:r w:rsidRPr="00AA2483">
        <w:rPr>
          <w:color w:val="4472C4" w:themeColor="accent1"/>
          <w:szCs w:val="24"/>
          <w:lang w:val="en-GB"/>
        </w:rPr>
        <w:tab/>
      </w:r>
    </w:p>
    <w:p w14:paraId="1608C45C" w14:textId="0C21D458" w:rsidR="0056096D" w:rsidRPr="00AA2483" w:rsidRDefault="0056096D" w:rsidP="0056096D">
      <w:pPr>
        <w:rPr>
          <w:color w:val="4472C4" w:themeColor="accent1"/>
          <w:szCs w:val="24"/>
          <w:lang w:val="en-GB"/>
        </w:rPr>
      </w:pPr>
      <w:r w:rsidRPr="00AA2483">
        <w:rPr>
          <w:color w:val="4472C4" w:themeColor="accent1"/>
          <w:szCs w:val="24"/>
          <w:lang w:val="en-GB"/>
        </w:rPr>
        <w:t xml:space="preserve">                Balance Type</w:t>
      </w:r>
      <w:r w:rsidRPr="00AA2483">
        <w:rPr>
          <w:color w:val="4472C4" w:themeColor="accent1"/>
          <w:szCs w:val="24"/>
          <w:lang w:val="en-GB"/>
        </w:rPr>
        <w:tab/>
        <w:t>&lt;</w:t>
      </w:r>
      <w:proofErr w:type="spellStart"/>
      <w:r w:rsidRPr="00AA2483">
        <w:rPr>
          <w:color w:val="4472C4" w:themeColor="accent1"/>
          <w:szCs w:val="24"/>
          <w:lang w:val="en-GB"/>
        </w:rPr>
        <w:t>BalTp</w:t>
      </w:r>
      <w:proofErr w:type="spellEnd"/>
      <w:r w:rsidRPr="00AA2483">
        <w:rPr>
          <w:color w:val="4472C4" w:themeColor="accent1"/>
          <w:szCs w:val="24"/>
          <w:lang w:val="en-GB"/>
        </w:rPr>
        <w:t>&gt;</w:t>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[1</w:t>
      </w:r>
      <w:proofErr w:type="gramStart"/>
      <w:r w:rsidRPr="00AA2483">
        <w:rPr>
          <w:color w:val="4472C4" w:themeColor="accent1"/>
          <w:szCs w:val="24"/>
          <w:lang w:val="en-GB"/>
        </w:rPr>
        <w:t>..1</w:t>
      </w:r>
      <w:proofErr w:type="gramEnd"/>
      <w:r w:rsidRPr="00AA2483">
        <w:rPr>
          <w:color w:val="4472C4" w:themeColor="accent1"/>
          <w:szCs w:val="24"/>
          <w:lang w:val="en-GB"/>
        </w:rPr>
        <w:t>]</w:t>
      </w:r>
    </w:p>
    <w:p w14:paraId="6961C114" w14:textId="41DD6910" w:rsidR="0056096D" w:rsidRPr="00AA2483" w:rsidRDefault="0056096D" w:rsidP="0056096D">
      <w:pPr>
        <w:rPr>
          <w:color w:val="4472C4" w:themeColor="accent1"/>
          <w:szCs w:val="24"/>
          <w:lang w:val="en-GB"/>
        </w:rPr>
      </w:pPr>
      <w:r w:rsidRPr="00AA2483">
        <w:rPr>
          <w:color w:val="4472C4" w:themeColor="accent1"/>
          <w:szCs w:val="24"/>
          <w:lang w:val="en-GB"/>
        </w:rPr>
        <w:t xml:space="preserve">                    Blocked</w:t>
      </w:r>
      <w:r w:rsidRPr="00AA2483">
        <w:rPr>
          <w:color w:val="4472C4" w:themeColor="accent1"/>
          <w:szCs w:val="24"/>
          <w:lang w:val="en-GB"/>
        </w:rPr>
        <w:tab/>
      </w:r>
      <w:r w:rsidRPr="00AA2483">
        <w:rPr>
          <w:color w:val="4472C4" w:themeColor="accent1"/>
          <w:szCs w:val="24"/>
          <w:lang w:val="en-GB"/>
        </w:rPr>
        <w:tab/>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BLOK</w:t>
      </w:r>
    </w:p>
    <w:p w14:paraId="66391D4A" w14:textId="66146327" w:rsidR="0056096D" w:rsidRPr="00AA2483" w:rsidRDefault="0056096D" w:rsidP="0056096D">
      <w:pPr>
        <w:rPr>
          <w:color w:val="4472C4" w:themeColor="accent1"/>
          <w:szCs w:val="24"/>
          <w:lang w:val="en-GB"/>
        </w:rPr>
      </w:pPr>
      <w:r w:rsidRPr="00AA2483">
        <w:rPr>
          <w:color w:val="4472C4" w:themeColor="accent1"/>
          <w:szCs w:val="24"/>
          <w:lang w:val="en-GB"/>
        </w:rPr>
        <w:t xml:space="preserve">                    Eligible</w:t>
      </w:r>
      <w:r w:rsidRPr="00AA2483">
        <w:rPr>
          <w:color w:val="4472C4" w:themeColor="accent1"/>
          <w:szCs w:val="24"/>
          <w:lang w:val="en-GB"/>
        </w:rPr>
        <w:tab/>
      </w:r>
      <w:r w:rsidRPr="00AA2483">
        <w:rPr>
          <w:color w:val="4472C4" w:themeColor="accent1"/>
          <w:szCs w:val="24"/>
          <w:lang w:val="en-GB"/>
        </w:rPr>
        <w:tab/>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ELIG</w:t>
      </w:r>
    </w:p>
    <w:p w14:paraId="382597D8" w14:textId="372CAEED" w:rsidR="0056096D" w:rsidRPr="00AA2483" w:rsidRDefault="0056096D" w:rsidP="0056096D">
      <w:pPr>
        <w:rPr>
          <w:color w:val="4472C4" w:themeColor="accent1"/>
          <w:szCs w:val="24"/>
          <w:lang w:val="en-GB"/>
        </w:rPr>
      </w:pPr>
      <w:r w:rsidRPr="00AA2483">
        <w:rPr>
          <w:color w:val="4472C4" w:themeColor="accent1"/>
          <w:szCs w:val="24"/>
          <w:lang w:val="en-GB"/>
        </w:rPr>
        <w:t xml:space="preserve">                    Pending Delivery</w:t>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PEND</w:t>
      </w:r>
    </w:p>
    <w:p w14:paraId="153F0BE5" w14:textId="483F992E" w:rsidR="0056096D" w:rsidRPr="00AA2483" w:rsidRDefault="0056096D" w:rsidP="0056096D">
      <w:pPr>
        <w:rPr>
          <w:color w:val="4472C4" w:themeColor="accent1"/>
          <w:szCs w:val="24"/>
          <w:lang w:val="en-GB"/>
        </w:rPr>
      </w:pPr>
      <w:r w:rsidRPr="00AA2483">
        <w:rPr>
          <w:color w:val="4472C4" w:themeColor="accent1"/>
          <w:szCs w:val="24"/>
          <w:lang w:val="en-GB"/>
        </w:rPr>
        <w:t xml:space="preserve">                    Pending Receipt</w:t>
      </w:r>
      <w:r w:rsidRPr="00AA2483">
        <w:rPr>
          <w:color w:val="4472C4" w:themeColor="accent1"/>
          <w:szCs w:val="24"/>
          <w:lang w:val="en-GB"/>
        </w:rPr>
        <w:tab/>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PENR</w:t>
      </w:r>
    </w:p>
    <w:p w14:paraId="2EB7FC2D" w14:textId="4AE466CE" w:rsidR="00E92C21" w:rsidRPr="00AA2483" w:rsidRDefault="00E92C21" w:rsidP="00E92C21">
      <w:pPr>
        <w:rPr>
          <w:color w:val="4472C4" w:themeColor="accent1"/>
          <w:szCs w:val="24"/>
          <w:lang w:val="en-GB"/>
        </w:rPr>
      </w:pPr>
      <w:r w:rsidRPr="00AA2483">
        <w:rPr>
          <w:color w:val="4472C4" w:themeColor="accent1"/>
          <w:szCs w:val="24"/>
          <w:lang w:val="en-GB"/>
        </w:rPr>
        <w:t xml:space="preserve">                    Registered </w:t>
      </w:r>
      <w:r w:rsidRPr="00AA2483">
        <w:rPr>
          <w:color w:val="FF0000"/>
          <w:szCs w:val="24"/>
          <w:lang w:val="en-GB"/>
        </w:rPr>
        <w:t>Nominee</w:t>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NOMI</w:t>
      </w:r>
    </w:p>
    <w:p w14:paraId="635215B9" w14:textId="77777777" w:rsidR="00E92C21" w:rsidRPr="00AA2483" w:rsidRDefault="00E92C21" w:rsidP="00E92C21">
      <w:pPr>
        <w:rPr>
          <w:color w:val="4472C4" w:themeColor="accent1"/>
          <w:szCs w:val="24"/>
          <w:lang w:val="en-GB"/>
        </w:rPr>
      </w:pPr>
      <w:r w:rsidRPr="00AA2483">
        <w:rPr>
          <w:color w:val="4472C4" w:themeColor="accent1"/>
          <w:szCs w:val="24"/>
          <w:lang w:val="en-GB"/>
        </w:rPr>
        <w:t xml:space="preserve">                    </w:t>
      </w:r>
      <w:r w:rsidRPr="00AA2483">
        <w:rPr>
          <w:color w:val="FF0000"/>
          <w:szCs w:val="24"/>
          <w:lang w:val="en-GB"/>
        </w:rPr>
        <w:t xml:space="preserve">Registered </w:t>
      </w:r>
      <w:proofErr w:type="spellStart"/>
      <w:r w:rsidRPr="00AA2483">
        <w:rPr>
          <w:color w:val="FF0000"/>
          <w:szCs w:val="24"/>
          <w:lang w:val="en-GB"/>
        </w:rPr>
        <w:t>Benefical</w:t>
      </w:r>
      <w:proofErr w:type="spellEnd"/>
      <w:r w:rsidRPr="00AA2483">
        <w:rPr>
          <w:color w:val="FF0000"/>
          <w:szCs w:val="24"/>
          <w:lang w:val="en-GB"/>
        </w:rPr>
        <w:t xml:space="preserve"> Owner</w:t>
      </w:r>
      <w:r w:rsidRPr="00AA2483">
        <w:rPr>
          <w:color w:val="FF0000"/>
          <w:szCs w:val="24"/>
          <w:lang w:val="en-GB"/>
        </w:rPr>
        <w:tab/>
        <w:t>BENE</w:t>
      </w:r>
    </w:p>
    <w:p w14:paraId="5F185011" w14:textId="3748D8A9" w:rsidR="0056096D" w:rsidRPr="00AA2483" w:rsidRDefault="0056096D" w:rsidP="0056096D">
      <w:pPr>
        <w:rPr>
          <w:color w:val="4472C4" w:themeColor="accent1"/>
          <w:szCs w:val="24"/>
          <w:lang w:val="en-GB"/>
        </w:rPr>
      </w:pPr>
      <w:r w:rsidRPr="00AA2483">
        <w:rPr>
          <w:color w:val="4472C4" w:themeColor="accent1"/>
          <w:szCs w:val="24"/>
          <w:lang w:val="en-GB"/>
        </w:rPr>
        <w:t xml:space="preserve">                    Settled</w:t>
      </w:r>
      <w:r w:rsidRPr="00AA2483">
        <w:rPr>
          <w:color w:val="4472C4" w:themeColor="accent1"/>
          <w:szCs w:val="24"/>
          <w:lang w:val="en-GB"/>
        </w:rPr>
        <w:tab/>
      </w:r>
      <w:r w:rsidRPr="00AA2483">
        <w:rPr>
          <w:color w:val="4472C4" w:themeColor="accent1"/>
          <w:szCs w:val="24"/>
          <w:lang w:val="en-GB"/>
        </w:rPr>
        <w:tab/>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SETD</w:t>
      </w:r>
    </w:p>
    <w:p w14:paraId="42C491AA" w14:textId="00AC8D7C" w:rsidR="0056096D" w:rsidRPr="00AA2483" w:rsidRDefault="0056096D" w:rsidP="0056096D">
      <w:pPr>
        <w:rPr>
          <w:color w:val="4472C4" w:themeColor="accent1"/>
          <w:szCs w:val="24"/>
          <w:lang w:val="en-GB"/>
        </w:rPr>
      </w:pPr>
      <w:r w:rsidRPr="00AA2483">
        <w:rPr>
          <w:color w:val="4472C4" w:themeColor="accent1"/>
          <w:szCs w:val="24"/>
          <w:lang w:val="en-GB"/>
        </w:rPr>
        <w:t xml:space="preserve">                    Borrowed</w:t>
      </w:r>
      <w:r w:rsidRPr="00AA2483">
        <w:rPr>
          <w:color w:val="4472C4" w:themeColor="accent1"/>
          <w:szCs w:val="24"/>
          <w:lang w:val="en-GB"/>
        </w:rPr>
        <w:tab/>
      </w:r>
      <w:r w:rsidRPr="00AA2483">
        <w:rPr>
          <w:color w:val="4472C4" w:themeColor="accent1"/>
          <w:szCs w:val="24"/>
          <w:lang w:val="en-GB"/>
        </w:rPr>
        <w:tab/>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BORR</w:t>
      </w:r>
    </w:p>
    <w:p w14:paraId="0A14F968" w14:textId="76BC8976" w:rsidR="0056096D" w:rsidRPr="00AA2483" w:rsidRDefault="0056096D" w:rsidP="0056096D">
      <w:pPr>
        <w:rPr>
          <w:color w:val="4472C4" w:themeColor="accent1"/>
          <w:szCs w:val="24"/>
          <w:lang w:val="en-GB"/>
        </w:rPr>
      </w:pPr>
      <w:r w:rsidRPr="00AA2483">
        <w:rPr>
          <w:color w:val="4472C4" w:themeColor="accent1"/>
          <w:szCs w:val="24"/>
          <w:lang w:val="en-GB"/>
        </w:rPr>
        <w:t xml:space="preserve">                    On Loan</w:t>
      </w:r>
      <w:r w:rsidRPr="00AA2483">
        <w:rPr>
          <w:color w:val="4472C4" w:themeColor="accent1"/>
          <w:szCs w:val="24"/>
          <w:lang w:val="en-GB"/>
        </w:rPr>
        <w:tab/>
      </w:r>
      <w:r w:rsidRPr="00AA2483">
        <w:rPr>
          <w:color w:val="4472C4" w:themeColor="accent1"/>
          <w:szCs w:val="24"/>
          <w:lang w:val="en-GB"/>
        </w:rPr>
        <w:tab/>
      </w:r>
      <w:r w:rsidRPr="00AA2483">
        <w:rPr>
          <w:color w:val="4472C4" w:themeColor="accent1"/>
          <w:szCs w:val="24"/>
          <w:lang w:val="en-GB"/>
        </w:rPr>
        <w:tab/>
      </w:r>
      <w:r w:rsidR="002E2E0C">
        <w:rPr>
          <w:color w:val="4472C4" w:themeColor="accent1"/>
          <w:szCs w:val="24"/>
          <w:lang w:val="en-GB"/>
        </w:rPr>
        <w:tab/>
      </w:r>
      <w:proofErr w:type="spellStart"/>
      <w:r w:rsidRPr="00AA2483">
        <w:rPr>
          <w:color w:val="4472C4" w:themeColor="accent1"/>
          <w:szCs w:val="24"/>
          <w:lang w:val="en-GB"/>
        </w:rPr>
        <w:t>LOAN</w:t>
      </w:r>
      <w:proofErr w:type="spellEnd"/>
    </w:p>
    <w:p w14:paraId="61B0CBAB" w14:textId="39F275A5" w:rsidR="0056096D" w:rsidRPr="00AA2483" w:rsidRDefault="0056096D" w:rsidP="0056096D">
      <w:pPr>
        <w:rPr>
          <w:color w:val="4472C4" w:themeColor="accent1"/>
          <w:szCs w:val="24"/>
          <w:lang w:val="en-GB"/>
        </w:rPr>
      </w:pPr>
      <w:r w:rsidRPr="00AA2483">
        <w:rPr>
          <w:color w:val="4472C4" w:themeColor="accent1"/>
          <w:szCs w:val="24"/>
          <w:lang w:val="en-GB"/>
        </w:rPr>
        <w:t xml:space="preserve">                    Street Position</w:t>
      </w:r>
      <w:r w:rsidRPr="00AA2483">
        <w:rPr>
          <w:color w:val="4472C4" w:themeColor="accent1"/>
          <w:szCs w:val="24"/>
          <w:lang w:val="en-GB"/>
        </w:rPr>
        <w:tab/>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SPOS</w:t>
      </w:r>
    </w:p>
    <w:p w14:paraId="5682447F" w14:textId="25981109" w:rsidR="0056096D" w:rsidRPr="00AA2483" w:rsidRDefault="0056096D" w:rsidP="0056096D">
      <w:pPr>
        <w:rPr>
          <w:color w:val="4472C4" w:themeColor="accent1"/>
          <w:szCs w:val="24"/>
          <w:lang w:val="en-GB"/>
        </w:rPr>
      </w:pPr>
      <w:r w:rsidRPr="00AA2483">
        <w:rPr>
          <w:color w:val="4472C4" w:themeColor="accent1"/>
          <w:szCs w:val="24"/>
          <w:lang w:val="en-GB"/>
        </w:rPr>
        <w:t xml:space="preserve">                    Traded</w:t>
      </w:r>
      <w:r w:rsidRPr="00AA2483">
        <w:rPr>
          <w:color w:val="4472C4" w:themeColor="accent1"/>
          <w:szCs w:val="24"/>
          <w:lang w:val="en-GB"/>
        </w:rPr>
        <w:tab/>
      </w:r>
      <w:r w:rsidRPr="00AA2483">
        <w:rPr>
          <w:color w:val="4472C4" w:themeColor="accent1"/>
          <w:szCs w:val="24"/>
          <w:lang w:val="en-GB"/>
        </w:rPr>
        <w:tab/>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TRAD</w:t>
      </w:r>
    </w:p>
    <w:p w14:paraId="5E8AB31F" w14:textId="55D254CB" w:rsidR="0056096D" w:rsidRPr="00AA2483" w:rsidRDefault="0056096D" w:rsidP="0056096D">
      <w:pPr>
        <w:rPr>
          <w:color w:val="4472C4" w:themeColor="accent1"/>
          <w:szCs w:val="24"/>
          <w:lang w:val="en-GB"/>
        </w:rPr>
      </w:pPr>
      <w:r w:rsidRPr="00AA2483">
        <w:rPr>
          <w:color w:val="4472C4" w:themeColor="accent1"/>
          <w:szCs w:val="24"/>
          <w:lang w:val="en-GB"/>
        </w:rPr>
        <w:t xml:space="preserve">                    Collateral </w:t>
      </w:r>
      <w:proofErr w:type="gramStart"/>
      <w:r w:rsidRPr="00AA2483">
        <w:rPr>
          <w:color w:val="4472C4" w:themeColor="accent1"/>
          <w:szCs w:val="24"/>
          <w:lang w:val="en-GB"/>
        </w:rPr>
        <w:t>In</w:t>
      </w:r>
      <w:proofErr w:type="gramEnd"/>
      <w:r w:rsidRPr="00AA2483">
        <w:rPr>
          <w:color w:val="4472C4" w:themeColor="accent1"/>
          <w:szCs w:val="24"/>
          <w:lang w:val="en-GB"/>
        </w:rPr>
        <w:tab/>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COLI</w:t>
      </w:r>
    </w:p>
    <w:p w14:paraId="0A069730" w14:textId="010BD760" w:rsidR="0056096D" w:rsidRPr="00AA2483" w:rsidRDefault="0056096D" w:rsidP="0056096D">
      <w:pPr>
        <w:rPr>
          <w:color w:val="4472C4" w:themeColor="accent1"/>
          <w:szCs w:val="24"/>
          <w:lang w:val="en-GB"/>
        </w:rPr>
      </w:pPr>
      <w:r w:rsidRPr="00AA2483">
        <w:rPr>
          <w:color w:val="4472C4" w:themeColor="accent1"/>
          <w:szCs w:val="24"/>
          <w:lang w:val="en-GB"/>
        </w:rPr>
        <w:t xml:space="preserve">                    Collateral </w:t>
      </w:r>
      <w:proofErr w:type="gramStart"/>
      <w:r w:rsidRPr="00AA2483">
        <w:rPr>
          <w:color w:val="4472C4" w:themeColor="accent1"/>
          <w:szCs w:val="24"/>
          <w:lang w:val="en-GB"/>
        </w:rPr>
        <w:t>Out</w:t>
      </w:r>
      <w:proofErr w:type="gramEnd"/>
      <w:r w:rsidRPr="00AA2483">
        <w:rPr>
          <w:color w:val="4472C4" w:themeColor="accent1"/>
          <w:szCs w:val="24"/>
          <w:lang w:val="en-GB"/>
        </w:rPr>
        <w:tab/>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COLO</w:t>
      </w:r>
    </w:p>
    <w:p w14:paraId="39E2C7A2" w14:textId="3E52395E" w:rsidR="0056096D" w:rsidRPr="00AA2483" w:rsidRDefault="0056096D" w:rsidP="0056096D">
      <w:pPr>
        <w:rPr>
          <w:color w:val="4472C4" w:themeColor="accent1"/>
          <w:szCs w:val="24"/>
          <w:lang w:val="en-GB"/>
        </w:rPr>
      </w:pPr>
      <w:r w:rsidRPr="00AA2483">
        <w:rPr>
          <w:color w:val="4472C4" w:themeColor="accent1"/>
          <w:szCs w:val="24"/>
          <w:lang w:val="en-GB"/>
        </w:rPr>
        <w:t xml:space="preserve">                    Uninstructed Balance</w:t>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UNBA</w:t>
      </w:r>
    </w:p>
    <w:p w14:paraId="4C11585C" w14:textId="736FAD87" w:rsidR="0056096D" w:rsidRPr="00AA2483" w:rsidRDefault="0056096D" w:rsidP="0056096D">
      <w:pPr>
        <w:rPr>
          <w:color w:val="4472C4" w:themeColor="accent1"/>
          <w:szCs w:val="24"/>
          <w:lang w:val="en-GB"/>
        </w:rPr>
      </w:pPr>
      <w:r w:rsidRPr="00AA2483">
        <w:rPr>
          <w:color w:val="4472C4" w:themeColor="accent1"/>
          <w:szCs w:val="24"/>
          <w:lang w:val="en-GB"/>
        </w:rPr>
        <w:t xml:space="preserve">                    Instructed Balance</w:t>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INBA</w:t>
      </w:r>
    </w:p>
    <w:p w14:paraId="50779857" w14:textId="1E610C4E" w:rsidR="0056096D" w:rsidRPr="00AA2483" w:rsidRDefault="0056096D" w:rsidP="0056096D">
      <w:pPr>
        <w:rPr>
          <w:color w:val="4472C4" w:themeColor="accent1"/>
          <w:szCs w:val="24"/>
          <w:lang w:val="en-GB"/>
        </w:rPr>
      </w:pPr>
      <w:r w:rsidRPr="00AA2483">
        <w:rPr>
          <w:color w:val="4472C4" w:themeColor="accent1"/>
          <w:szCs w:val="24"/>
          <w:lang w:val="en-GB"/>
        </w:rPr>
        <w:t xml:space="preserve">                    Out For Registration</w:t>
      </w:r>
      <w:r w:rsidRPr="00AA2483">
        <w:rPr>
          <w:color w:val="4472C4" w:themeColor="accent1"/>
          <w:szCs w:val="24"/>
          <w:lang w:val="en-GB"/>
        </w:rPr>
        <w:tab/>
      </w:r>
      <w:r w:rsidR="002E2E0C">
        <w:rPr>
          <w:color w:val="4472C4" w:themeColor="accent1"/>
          <w:szCs w:val="24"/>
          <w:lang w:val="en-GB"/>
        </w:rPr>
        <w:tab/>
      </w:r>
      <w:r w:rsidRPr="00AA2483">
        <w:rPr>
          <w:color w:val="4472C4" w:themeColor="accent1"/>
          <w:szCs w:val="24"/>
          <w:lang w:val="en-GB"/>
        </w:rPr>
        <w:t>REGO</w:t>
      </w:r>
    </w:p>
    <w:p w14:paraId="171C100F" w14:textId="0F4B2661" w:rsidR="0056096D" w:rsidRDefault="0056096D" w:rsidP="000408BA">
      <w:pPr>
        <w:rPr>
          <w:szCs w:val="24"/>
          <w:lang w:val="en-GB"/>
        </w:rPr>
      </w:pPr>
    </w:p>
    <w:p w14:paraId="2AA0C9BF" w14:textId="54926575"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3511B4AF" w14:textId="0565C017" w:rsidR="00DD512C" w:rsidRPr="00AA2483" w:rsidRDefault="00DD512C" w:rsidP="00865C2F">
      <w:pPr>
        <w:rPr>
          <w:color w:val="4472C4" w:themeColor="accent1"/>
        </w:rPr>
      </w:pPr>
      <w:r w:rsidRPr="00AA2483">
        <w:rPr>
          <w:color w:val="4472C4" w:themeColor="accent1"/>
        </w:rPr>
        <w:t xml:space="preserve">The shareholder in a German </w:t>
      </w:r>
      <w:r w:rsidR="00E92C21" w:rsidRPr="00AA2483">
        <w:rPr>
          <w:color w:val="4472C4" w:themeColor="accent1"/>
        </w:rPr>
        <w:t xml:space="preserve">company share register </w:t>
      </w:r>
      <w:r w:rsidRPr="00AA2483">
        <w:rPr>
          <w:color w:val="4472C4" w:themeColor="accent1"/>
        </w:rPr>
        <w:t>can be registered in the name of the beneficial owner</w:t>
      </w:r>
      <w:r w:rsidR="0057618A" w:rsidRPr="00AA2483">
        <w:rPr>
          <w:color w:val="4472C4" w:themeColor="accent1"/>
        </w:rPr>
        <w:t xml:space="preserve"> or in the name of a Nominee. </w:t>
      </w:r>
      <w:r w:rsidRPr="00AA2483">
        <w:rPr>
          <w:color w:val="4472C4" w:themeColor="accent1"/>
        </w:rPr>
        <w:t xml:space="preserve">A registration by the end of a day is mandatory. </w:t>
      </w:r>
    </w:p>
    <w:p w14:paraId="5B338A5B" w14:textId="590F1D90" w:rsidR="00E32092" w:rsidRPr="00AA2483" w:rsidRDefault="00106DBB" w:rsidP="00865C2F">
      <w:pPr>
        <w:rPr>
          <w:color w:val="4472C4" w:themeColor="accent1"/>
        </w:rPr>
      </w:pPr>
      <w:r w:rsidRPr="00AA2483">
        <w:rPr>
          <w:color w:val="4472C4" w:themeColor="accent1"/>
        </w:rPr>
        <w:t xml:space="preserve">As per German law the registered </w:t>
      </w:r>
      <w:r w:rsidR="00E32092" w:rsidRPr="00AA2483">
        <w:rPr>
          <w:color w:val="4472C4" w:themeColor="accent1"/>
        </w:rPr>
        <w:t xml:space="preserve">name </w:t>
      </w:r>
      <w:r w:rsidRPr="00AA2483">
        <w:rPr>
          <w:color w:val="4472C4" w:themeColor="accent1"/>
        </w:rPr>
        <w:t xml:space="preserve">in the company </w:t>
      </w:r>
      <w:r w:rsidR="00AF50A0" w:rsidRPr="00AA2483">
        <w:rPr>
          <w:color w:val="4472C4" w:themeColor="accent1"/>
        </w:rPr>
        <w:t xml:space="preserve">share </w:t>
      </w:r>
      <w:r w:rsidRPr="00AA2483">
        <w:rPr>
          <w:color w:val="4472C4" w:themeColor="accent1"/>
        </w:rPr>
        <w:t>register</w:t>
      </w:r>
      <w:r w:rsidR="00AF50A0" w:rsidRPr="00AA2483">
        <w:rPr>
          <w:color w:val="4472C4" w:themeColor="accent1"/>
        </w:rPr>
        <w:t xml:space="preserve"> </w:t>
      </w:r>
      <w:r w:rsidR="00E32092" w:rsidRPr="00AA2483">
        <w:rPr>
          <w:color w:val="4472C4" w:themeColor="accent1"/>
        </w:rPr>
        <w:t xml:space="preserve">has the shareholder rights against the issuer. The Nominee registration (custodian bank on behalf of the account holder of the shares) are allowed, but in this case the Nominee execute the shareholder rights on behalf of the </w:t>
      </w:r>
      <w:r w:rsidR="00AF50A0" w:rsidRPr="00AA2483">
        <w:rPr>
          <w:color w:val="4472C4" w:themeColor="accent1"/>
        </w:rPr>
        <w:t>beneficial</w:t>
      </w:r>
      <w:r w:rsidR="00E32092" w:rsidRPr="00AA2483">
        <w:rPr>
          <w:color w:val="4472C4" w:themeColor="accent1"/>
        </w:rPr>
        <w:t xml:space="preserve"> holder of the shares</w:t>
      </w:r>
      <w:r w:rsidR="00280971" w:rsidRPr="00AA2483">
        <w:rPr>
          <w:color w:val="4472C4" w:themeColor="accent1"/>
        </w:rPr>
        <w:t xml:space="preserve">. </w:t>
      </w:r>
    </w:p>
    <w:p w14:paraId="034D5BC5" w14:textId="179F65BF" w:rsidR="00DD512C" w:rsidRPr="00AA2483" w:rsidRDefault="00DD512C" w:rsidP="00865C2F">
      <w:pPr>
        <w:rPr>
          <w:color w:val="4472C4" w:themeColor="accent1"/>
        </w:rPr>
      </w:pPr>
      <w:r w:rsidRPr="00AA2483">
        <w:rPr>
          <w:color w:val="4472C4" w:themeColor="accent1"/>
        </w:rPr>
        <w:t>If no registration request has been sent to the company share register, an automatic registration of the German custodian</w:t>
      </w:r>
      <w:r w:rsidR="0057618A" w:rsidRPr="00AA2483">
        <w:rPr>
          <w:color w:val="4472C4" w:themeColor="accent1"/>
        </w:rPr>
        <w:t xml:space="preserve"> (CSD securities account owner)</w:t>
      </w:r>
      <w:r w:rsidRPr="00AA2483">
        <w:rPr>
          <w:color w:val="4472C4" w:themeColor="accent1"/>
        </w:rPr>
        <w:t xml:space="preserve"> as Nominee will be performed. </w:t>
      </w:r>
      <w:r w:rsidR="00AF50A0" w:rsidRPr="00AA2483">
        <w:rPr>
          <w:color w:val="4472C4" w:themeColor="accent1"/>
        </w:rPr>
        <w:t>In Germany this will be performed by the local CSD application CASCADE-RS.</w:t>
      </w:r>
    </w:p>
    <w:p w14:paraId="49C63EE7" w14:textId="0F38631B" w:rsidR="00E92C21" w:rsidRPr="00AA2483" w:rsidRDefault="00DD512C" w:rsidP="00865C2F">
      <w:pPr>
        <w:rPr>
          <w:color w:val="4472C4" w:themeColor="accent1"/>
        </w:rPr>
      </w:pPr>
      <w:r w:rsidRPr="00AA2483">
        <w:rPr>
          <w:color w:val="4472C4" w:themeColor="accent1"/>
        </w:rPr>
        <w:lastRenderedPageBreak/>
        <w:t xml:space="preserve">Especially in case of complex sub-custodian structures, the </w:t>
      </w:r>
      <w:r w:rsidR="00106DBB" w:rsidRPr="00AA2483">
        <w:rPr>
          <w:color w:val="4472C4" w:themeColor="accent1"/>
        </w:rPr>
        <w:t xml:space="preserve">final beneficial owner details of the </w:t>
      </w:r>
      <w:r w:rsidRPr="00AA2483">
        <w:rPr>
          <w:color w:val="4472C4" w:themeColor="accent1"/>
        </w:rPr>
        <w:t xml:space="preserve">settlement transaction are not known to the </w:t>
      </w:r>
      <w:r w:rsidR="0057618A" w:rsidRPr="00AA2483">
        <w:rPr>
          <w:color w:val="4472C4" w:themeColor="accent1"/>
        </w:rPr>
        <w:t xml:space="preserve">CSD securities account owner </w:t>
      </w:r>
      <w:r w:rsidRPr="00AA2483">
        <w:rPr>
          <w:color w:val="4472C4" w:themeColor="accent1"/>
        </w:rPr>
        <w:t xml:space="preserve">and therefore often just the account </w:t>
      </w:r>
      <w:r w:rsidR="00106DBB" w:rsidRPr="00AA2483">
        <w:rPr>
          <w:color w:val="4472C4" w:themeColor="accent1"/>
        </w:rPr>
        <w:t>owner</w:t>
      </w:r>
      <w:r w:rsidR="0057618A" w:rsidRPr="00AA2483">
        <w:rPr>
          <w:color w:val="4472C4" w:themeColor="accent1"/>
        </w:rPr>
        <w:t xml:space="preserve"> </w:t>
      </w:r>
      <w:r w:rsidRPr="00AA2483">
        <w:rPr>
          <w:color w:val="4472C4" w:themeColor="accent1"/>
        </w:rPr>
        <w:t xml:space="preserve">of </w:t>
      </w:r>
      <w:r w:rsidR="0057618A" w:rsidRPr="00AA2483">
        <w:rPr>
          <w:color w:val="4472C4" w:themeColor="accent1"/>
        </w:rPr>
        <w:t xml:space="preserve">the </w:t>
      </w:r>
      <w:r w:rsidRPr="00AA2483">
        <w:rPr>
          <w:color w:val="4472C4" w:themeColor="accent1"/>
        </w:rPr>
        <w:t xml:space="preserve">German custodian can be registered in the German company share register.   </w:t>
      </w:r>
    </w:p>
    <w:p w14:paraId="5567EF72" w14:textId="6EADCAC2" w:rsidR="00E92C21" w:rsidRDefault="00E92C21" w:rsidP="00865C2F"/>
    <w:p w14:paraId="0F59DCDB"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57A7B61"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46DBE618"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D1706D9"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776EB4C1" w14:textId="12BA9D48" w:rsidR="00A54478" w:rsidRDefault="00A54478" w:rsidP="00F34C66">
      <w:pPr>
        <w:rPr>
          <w:iCs/>
          <w:color w:val="4472C4" w:themeColor="accent1"/>
          <w:szCs w:val="24"/>
          <w:lang w:val="en-GB"/>
        </w:rPr>
      </w:pPr>
      <w:r w:rsidRPr="00AA2483">
        <w:rPr>
          <w:iCs/>
          <w:color w:val="4472C4" w:themeColor="accent1"/>
          <w:szCs w:val="24"/>
          <w:lang w:val="en-GB"/>
        </w:rPr>
        <w:t>N/A</w:t>
      </w:r>
    </w:p>
    <w:p w14:paraId="1C30910D" w14:textId="77777777" w:rsidR="00AA2483" w:rsidRPr="00AA2483" w:rsidRDefault="00AA2483" w:rsidP="00F34C66">
      <w:pPr>
        <w:rPr>
          <w:iCs/>
          <w:color w:val="4472C4" w:themeColor="accent1"/>
          <w:szCs w:val="24"/>
          <w:lang w:val="en-GB"/>
        </w:rPr>
      </w:pPr>
    </w:p>
    <w:p w14:paraId="7EFD073D"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6B25BC5" w14:textId="00E95745" w:rsidR="00A54478" w:rsidRPr="00AA2483" w:rsidRDefault="00A54478" w:rsidP="00783891">
      <w:pPr>
        <w:rPr>
          <w:color w:val="4472C4" w:themeColor="accent1"/>
          <w:lang w:val="en-GB"/>
        </w:rPr>
      </w:pPr>
      <w:r w:rsidRPr="00AA2483">
        <w:rPr>
          <w:color w:val="4472C4" w:themeColor="accent1"/>
          <w:lang w:val="en-GB"/>
        </w:rPr>
        <w:t xml:space="preserve">German custodian </w:t>
      </w:r>
      <w:proofErr w:type="gramStart"/>
      <w:r w:rsidRPr="00AA2483">
        <w:rPr>
          <w:color w:val="4472C4" w:themeColor="accent1"/>
          <w:lang w:val="en-GB"/>
        </w:rPr>
        <w:t>A</w:t>
      </w:r>
      <w:proofErr w:type="gramEnd"/>
      <w:r w:rsidRPr="00AA2483">
        <w:rPr>
          <w:color w:val="4472C4" w:themeColor="accent1"/>
          <w:lang w:val="en-GB"/>
        </w:rPr>
        <w:t xml:space="preserve"> h</w:t>
      </w:r>
      <w:r w:rsidR="009740C8" w:rsidRPr="00AA2483">
        <w:rPr>
          <w:color w:val="4472C4" w:themeColor="accent1"/>
          <w:lang w:val="en-GB"/>
        </w:rPr>
        <w:t>o</w:t>
      </w:r>
      <w:r w:rsidRPr="00AA2483">
        <w:rPr>
          <w:color w:val="4472C4" w:themeColor="accent1"/>
          <w:lang w:val="en-GB"/>
        </w:rPr>
        <w:t>ld</w:t>
      </w:r>
      <w:r w:rsidR="009740C8" w:rsidRPr="00AA2483">
        <w:rPr>
          <w:color w:val="4472C4" w:themeColor="accent1"/>
          <w:lang w:val="en-GB"/>
        </w:rPr>
        <w:t>s</w:t>
      </w:r>
      <w:r w:rsidRPr="00AA2483">
        <w:rPr>
          <w:color w:val="4472C4" w:themeColor="accent1"/>
          <w:lang w:val="en-GB"/>
        </w:rPr>
        <w:t xml:space="preserve"> 10</w:t>
      </w:r>
      <w:r w:rsidR="009740C8" w:rsidRPr="00AA2483">
        <w:rPr>
          <w:color w:val="4472C4" w:themeColor="accent1"/>
          <w:lang w:val="en-GB"/>
        </w:rPr>
        <w:t>,</w:t>
      </w:r>
      <w:r w:rsidRPr="00AA2483">
        <w:rPr>
          <w:color w:val="4472C4" w:themeColor="accent1"/>
          <w:lang w:val="en-GB"/>
        </w:rPr>
        <w:t>000 share</w:t>
      </w:r>
      <w:r w:rsidR="009740C8" w:rsidRPr="00AA2483">
        <w:rPr>
          <w:color w:val="4472C4" w:themeColor="accent1"/>
          <w:lang w:val="en-GB"/>
        </w:rPr>
        <w:t>s</w:t>
      </w:r>
      <w:r w:rsidRPr="00AA2483">
        <w:rPr>
          <w:color w:val="4472C4" w:themeColor="accent1"/>
          <w:lang w:val="en-GB"/>
        </w:rPr>
        <w:t xml:space="preserve"> of company XYZ AG for 3 different clients</w:t>
      </w:r>
    </w:p>
    <w:p w14:paraId="33779BE3" w14:textId="77777777" w:rsidR="00A54478" w:rsidRPr="00AA2483" w:rsidRDefault="00A54478" w:rsidP="00783891">
      <w:pPr>
        <w:rPr>
          <w:color w:val="4472C4" w:themeColor="accent1"/>
          <w:lang w:val="en-GB"/>
        </w:rPr>
      </w:pPr>
      <w:r w:rsidRPr="00AA2483">
        <w:rPr>
          <w:color w:val="4472C4" w:themeColor="accent1"/>
          <w:lang w:val="en-GB"/>
        </w:rPr>
        <w:t xml:space="preserve">Client 1 = 500 shares, natural person Mr. Max </w:t>
      </w:r>
      <w:proofErr w:type="spellStart"/>
      <w:r w:rsidRPr="00AA2483">
        <w:rPr>
          <w:color w:val="4472C4" w:themeColor="accent1"/>
          <w:lang w:val="en-GB"/>
        </w:rPr>
        <w:t>Mustermann</w:t>
      </w:r>
      <w:proofErr w:type="spellEnd"/>
    </w:p>
    <w:p w14:paraId="0EA42F1B" w14:textId="15B5A467" w:rsidR="00A54478" w:rsidRPr="00AA2483" w:rsidRDefault="00A54478" w:rsidP="00783891">
      <w:pPr>
        <w:rPr>
          <w:i/>
          <w:iCs/>
          <w:color w:val="4472C4" w:themeColor="accent1"/>
          <w:lang w:val="en-GB"/>
        </w:rPr>
      </w:pPr>
      <w:r w:rsidRPr="00AA2483">
        <w:rPr>
          <w:i/>
          <w:iCs/>
          <w:color w:val="4472C4" w:themeColor="accent1"/>
          <w:lang w:val="en-GB"/>
        </w:rPr>
        <w:tab/>
        <w:t>Regist</w:t>
      </w:r>
      <w:r w:rsidR="009740C8" w:rsidRPr="00AA2483">
        <w:rPr>
          <w:i/>
          <w:iCs/>
          <w:color w:val="4472C4" w:themeColor="accent1"/>
          <w:lang w:val="en-GB"/>
        </w:rPr>
        <w:t>ered</w:t>
      </w:r>
      <w:r w:rsidRPr="00AA2483">
        <w:rPr>
          <w:i/>
          <w:iCs/>
          <w:color w:val="4472C4" w:themeColor="accent1"/>
          <w:lang w:val="en-GB"/>
        </w:rPr>
        <w:t xml:space="preserve"> in the</w:t>
      </w:r>
      <w:r w:rsidR="00AF50A0" w:rsidRPr="00AA2483">
        <w:rPr>
          <w:i/>
          <w:iCs/>
          <w:color w:val="4472C4" w:themeColor="accent1"/>
          <w:lang w:val="en-GB"/>
        </w:rPr>
        <w:t xml:space="preserve"> company</w:t>
      </w:r>
      <w:r w:rsidRPr="00AA2483">
        <w:rPr>
          <w:i/>
          <w:iCs/>
          <w:color w:val="4472C4" w:themeColor="accent1"/>
          <w:lang w:val="en-GB"/>
        </w:rPr>
        <w:t xml:space="preserve"> </w:t>
      </w:r>
      <w:r w:rsidR="00AF50A0" w:rsidRPr="00AA2483">
        <w:rPr>
          <w:i/>
          <w:iCs/>
          <w:color w:val="4472C4" w:themeColor="accent1"/>
          <w:lang w:val="en-GB"/>
        </w:rPr>
        <w:t xml:space="preserve">share register in the </w:t>
      </w:r>
      <w:r w:rsidRPr="00AA2483">
        <w:rPr>
          <w:i/>
          <w:iCs/>
          <w:color w:val="4472C4" w:themeColor="accent1"/>
          <w:lang w:val="en-GB"/>
        </w:rPr>
        <w:t>name of the beneficial owner.</w:t>
      </w:r>
    </w:p>
    <w:p w14:paraId="4BAFD7E7" w14:textId="77777777" w:rsidR="00A54478" w:rsidRPr="00AA2483" w:rsidRDefault="00A54478" w:rsidP="00A54478">
      <w:pPr>
        <w:rPr>
          <w:color w:val="4472C4" w:themeColor="accent1"/>
          <w:lang w:val="en-GB"/>
        </w:rPr>
      </w:pPr>
      <w:r w:rsidRPr="00AA2483">
        <w:rPr>
          <w:color w:val="4472C4" w:themeColor="accent1"/>
          <w:lang w:val="en-GB"/>
        </w:rPr>
        <w:t>Client 2 = 6</w:t>
      </w:r>
      <w:r w:rsidR="009740C8" w:rsidRPr="00AA2483">
        <w:rPr>
          <w:color w:val="4472C4" w:themeColor="accent1"/>
          <w:lang w:val="en-GB"/>
        </w:rPr>
        <w:t>,</w:t>
      </w:r>
      <w:r w:rsidRPr="00AA2483">
        <w:rPr>
          <w:color w:val="4472C4" w:themeColor="accent1"/>
          <w:lang w:val="en-GB"/>
        </w:rPr>
        <w:t>000 shares, investment fund ABC</w:t>
      </w:r>
    </w:p>
    <w:p w14:paraId="33FAA27E" w14:textId="7DD6CF69" w:rsidR="00A54478" w:rsidRPr="00AA2483" w:rsidRDefault="00A54478" w:rsidP="00A54478">
      <w:pPr>
        <w:rPr>
          <w:i/>
          <w:iCs/>
          <w:color w:val="4472C4" w:themeColor="accent1"/>
          <w:lang w:val="en-GB"/>
        </w:rPr>
      </w:pPr>
      <w:r w:rsidRPr="00AA2483">
        <w:rPr>
          <w:i/>
          <w:iCs/>
          <w:color w:val="4472C4" w:themeColor="accent1"/>
          <w:lang w:val="en-GB"/>
        </w:rPr>
        <w:tab/>
      </w:r>
      <w:r w:rsidR="009740C8" w:rsidRPr="00AA2483">
        <w:rPr>
          <w:i/>
          <w:iCs/>
          <w:color w:val="4472C4" w:themeColor="accent1"/>
          <w:lang w:val="en-GB"/>
        </w:rPr>
        <w:t xml:space="preserve">Registered </w:t>
      </w:r>
      <w:r w:rsidRPr="00AA2483">
        <w:rPr>
          <w:i/>
          <w:iCs/>
          <w:color w:val="4472C4" w:themeColor="accent1"/>
          <w:lang w:val="en-GB"/>
        </w:rPr>
        <w:t xml:space="preserve">in the </w:t>
      </w:r>
      <w:r w:rsidR="00AF50A0" w:rsidRPr="00AA2483">
        <w:rPr>
          <w:i/>
          <w:iCs/>
          <w:color w:val="4472C4" w:themeColor="accent1"/>
          <w:lang w:val="en-GB"/>
        </w:rPr>
        <w:t xml:space="preserve">company share register in the </w:t>
      </w:r>
      <w:r w:rsidRPr="00AA2483">
        <w:rPr>
          <w:i/>
          <w:iCs/>
          <w:color w:val="4472C4" w:themeColor="accent1"/>
          <w:lang w:val="en-GB"/>
        </w:rPr>
        <w:t>name of the beneficial owner.</w:t>
      </w:r>
    </w:p>
    <w:p w14:paraId="313892FE" w14:textId="77777777" w:rsidR="00A54478" w:rsidRPr="00AA2483" w:rsidRDefault="00A54478" w:rsidP="00A54478">
      <w:pPr>
        <w:rPr>
          <w:color w:val="4472C4" w:themeColor="accent1"/>
          <w:lang w:val="en-GB"/>
        </w:rPr>
      </w:pPr>
      <w:r w:rsidRPr="00AA2483">
        <w:rPr>
          <w:color w:val="4472C4" w:themeColor="accent1"/>
          <w:lang w:val="en-GB"/>
        </w:rPr>
        <w:t>Client 3 = 3</w:t>
      </w:r>
      <w:r w:rsidR="009740C8" w:rsidRPr="00AA2483">
        <w:rPr>
          <w:color w:val="4472C4" w:themeColor="accent1"/>
          <w:lang w:val="en-GB"/>
        </w:rPr>
        <w:t>,</w:t>
      </w:r>
      <w:r w:rsidRPr="00AA2483">
        <w:rPr>
          <w:color w:val="4472C4" w:themeColor="accent1"/>
          <w:lang w:val="en-GB"/>
        </w:rPr>
        <w:t>500 shares, Omnibus account of a non-German bank B</w:t>
      </w:r>
    </w:p>
    <w:p w14:paraId="5BF9D395" w14:textId="10358FB0" w:rsidR="00194696" w:rsidRPr="00AA2483" w:rsidRDefault="004117AE" w:rsidP="00A54478">
      <w:pPr>
        <w:ind w:left="720"/>
        <w:rPr>
          <w:i/>
          <w:iCs/>
          <w:color w:val="4472C4" w:themeColor="accent1"/>
          <w:lang w:val="en-GB"/>
        </w:rPr>
      </w:pPr>
      <w:r w:rsidRPr="00AA2483">
        <w:rPr>
          <w:i/>
          <w:iCs/>
          <w:color w:val="4472C4" w:themeColor="accent1"/>
          <w:lang w:val="en-GB"/>
        </w:rPr>
        <w:t xml:space="preserve">Registered in the </w:t>
      </w:r>
      <w:r w:rsidR="00AF50A0" w:rsidRPr="00AA2483">
        <w:rPr>
          <w:i/>
          <w:iCs/>
          <w:color w:val="4472C4" w:themeColor="accent1"/>
          <w:lang w:val="en-GB"/>
        </w:rPr>
        <w:t xml:space="preserve">company share register in the </w:t>
      </w:r>
      <w:r w:rsidRPr="00AA2483">
        <w:rPr>
          <w:i/>
          <w:iCs/>
          <w:color w:val="4472C4" w:themeColor="accent1"/>
          <w:lang w:val="en-GB"/>
        </w:rPr>
        <w:t>name of the German custodian as Nominee.</w:t>
      </w:r>
    </w:p>
    <w:p w14:paraId="5F3973F8" w14:textId="43B6949B" w:rsidR="00A54478" w:rsidRDefault="00A54478" w:rsidP="00AA2483">
      <w:pPr>
        <w:ind w:left="720"/>
        <w:rPr>
          <w:i/>
          <w:iCs/>
          <w:color w:val="4472C4" w:themeColor="accent1"/>
          <w:lang w:val="en-GB"/>
        </w:rPr>
      </w:pPr>
      <w:r w:rsidRPr="00AA2483">
        <w:rPr>
          <w:i/>
          <w:iCs/>
          <w:color w:val="4472C4" w:themeColor="accent1"/>
          <w:lang w:val="en-GB"/>
        </w:rPr>
        <w:t>Registration in the</w:t>
      </w:r>
      <w:r w:rsidR="00AF50A0" w:rsidRPr="00AA2483">
        <w:rPr>
          <w:i/>
          <w:iCs/>
          <w:color w:val="4472C4" w:themeColor="accent1"/>
          <w:lang w:val="en-GB"/>
        </w:rPr>
        <w:t xml:space="preserve"> company share register in the</w:t>
      </w:r>
      <w:r w:rsidRPr="00AA2483">
        <w:rPr>
          <w:i/>
          <w:iCs/>
          <w:color w:val="4472C4" w:themeColor="accent1"/>
          <w:lang w:val="en-GB"/>
        </w:rPr>
        <w:t xml:space="preserve"> name of the beneficial owner is not possible, because </w:t>
      </w:r>
      <w:r w:rsidR="00423B13" w:rsidRPr="00AA2483">
        <w:rPr>
          <w:i/>
          <w:iCs/>
          <w:color w:val="4472C4" w:themeColor="accent1"/>
          <w:lang w:val="en-GB"/>
        </w:rPr>
        <w:t xml:space="preserve">the </w:t>
      </w:r>
      <w:r w:rsidRPr="00AA2483">
        <w:rPr>
          <w:i/>
          <w:iCs/>
          <w:color w:val="4472C4" w:themeColor="accent1"/>
          <w:lang w:val="en-GB"/>
        </w:rPr>
        <w:t xml:space="preserve">non-German bank B </w:t>
      </w:r>
      <w:r w:rsidR="00087F7D" w:rsidRPr="00AA2483">
        <w:rPr>
          <w:i/>
          <w:iCs/>
          <w:color w:val="4472C4" w:themeColor="accent1"/>
          <w:lang w:val="en-GB"/>
        </w:rPr>
        <w:t xml:space="preserve">cannot </w:t>
      </w:r>
      <w:r w:rsidRPr="00AA2483">
        <w:rPr>
          <w:i/>
          <w:iCs/>
          <w:color w:val="4472C4" w:themeColor="accent1"/>
          <w:lang w:val="en-GB"/>
        </w:rPr>
        <w:t>be registered as beneficial owner when the shares are held in an omnibus account. Presumably bank B deposit</w:t>
      </w:r>
      <w:r w:rsidR="002207E8" w:rsidRPr="00AA2483">
        <w:rPr>
          <w:i/>
          <w:iCs/>
          <w:color w:val="4472C4" w:themeColor="accent1"/>
          <w:lang w:val="en-GB"/>
        </w:rPr>
        <w:t>s</w:t>
      </w:r>
      <w:r w:rsidRPr="00AA2483">
        <w:rPr>
          <w:i/>
          <w:iCs/>
          <w:color w:val="4472C4" w:themeColor="accent1"/>
          <w:lang w:val="en-GB"/>
        </w:rPr>
        <w:t xml:space="preserve"> the shares for multiple investors. </w:t>
      </w:r>
    </w:p>
    <w:p w14:paraId="4E6FD287" w14:textId="1B2D0A74" w:rsidR="006726C0" w:rsidRDefault="006726C0" w:rsidP="00AA2483">
      <w:pPr>
        <w:ind w:left="720"/>
        <w:rPr>
          <w:lang w:val="en-GB"/>
        </w:rPr>
      </w:pPr>
    </w:p>
    <w:p w14:paraId="29F6B273" w14:textId="012227E4" w:rsidR="006726C0" w:rsidRDefault="006726C0" w:rsidP="00AA2483">
      <w:pPr>
        <w:ind w:left="720"/>
        <w:rPr>
          <w:lang w:val="en-GB"/>
        </w:rPr>
      </w:pPr>
    </w:p>
    <w:p w14:paraId="16610EDA" w14:textId="1F1875B6" w:rsidR="006726C0" w:rsidRDefault="006726C0" w:rsidP="00AA2483">
      <w:pPr>
        <w:ind w:left="720"/>
        <w:rPr>
          <w:lang w:val="en-GB"/>
        </w:rPr>
      </w:pPr>
    </w:p>
    <w:p w14:paraId="08689BDD" w14:textId="77777777" w:rsidR="006726C0" w:rsidRDefault="006726C0" w:rsidP="00AA2483">
      <w:pPr>
        <w:ind w:left="720"/>
        <w:rPr>
          <w:lang w:val="en-GB"/>
        </w:rPr>
      </w:pPr>
    </w:p>
    <w:p w14:paraId="3A22D892" w14:textId="6C8E9833" w:rsidR="00C41DDB" w:rsidRPr="006726C0" w:rsidRDefault="00C41DDB" w:rsidP="006726C0">
      <w:pPr>
        <w:pStyle w:val="ListParagraph"/>
        <w:numPr>
          <w:ilvl w:val="0"/>
          <w:numId w:val="6"/>
        </w:numPr>
        <w:rPr>
          <w:b/>
          <w:lang w:val="en-GB"/>
        </w:rPr>
      </w:pPr>
      <w:r w:rsidRPr="006726C0">
        <w:rPr>
          <w:b/>
          <w:lang w:val="en-GB"/>
        </w:rPr>
        <w:lastRenderedPageBreak/>
        <w:t>SEG</w:t>
      </w:r>
      <w:r w:rsidR="005A1AA5" w:rsidRPr="006726C0">
        <w:rPr>
          <w:b/>
          <w:lang w:val="en-GB"/>
        </w:rPr>
        <w:t>/TSG</w:t>
      </w:r>
      <w:r w:rsidRPr="006726C0">
        <w:rPr>
          <w:b/>
          <w:lang w:val="en-GB"/>
        </w:rPr>
        <w:t xml:space="preserve"> recommendation:</w:t>
      </w:r>
    </w:p>
    <w:p w14:paraId="65DB2CF5"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4589DA1"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1098592" w14:textId="77777777" w:rsidTr="00130EB9">
        <w:trPr>
          <w:gridAfter w:val="3"/>
          <w:wAfter w:w="5623" w:type="dxa"/>
        </w:trPr>
        <w:tc>
          <w:tcPr>
            <w:tcW w:w="1242" w:type="dxa"/>
            <w:gridSpan w:val="2"/>
          </w:tcPr>
          <w:p w14:paraId="76A3EF2B" w14:textId="77777777" w:rsidR="00C40729" w:rsidRPr="00E3221E" w:rsidRDefault="00C40729" w:rsidP="0025138E">
            <w:pPr>
              <w:rPr>
                <w:b/>
                <w:szCs w:val="24"/>
                <w:lang w:val="en-GB"/>
              </w:rPr>
            </w:pPr>
            <w:r w:rsidRPr="00E3221E">
              <w:rPr>
                <w:b/>
                <w:szCs w:val="24"/>
                <w:lang w:val="en-GB"/>
              </w:rPr>
              <w:t>Consider</w:t>
            </w:r>
          </w:p>
        </w:tc>
        <w:tc>
          <w:tcPr>
            <w:tcW w:w="567" w:type="dxa"/>
          </w:tcPr>
          <w:p w14:paraId="0A1B41FB"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52BEE950" w14:textId="77777777" w:rsidR="00C40729" w:rsidRPr="00E3221E" w:rsidRDefault="00C40729" w:rsidP="0025138E">
            <w:pPr>
              <w:rPr>
                <w:b/>
                <w:szCs w:val="24"/>
                <w:lang w:val="en-GB"/>
              </w:rPr>
            </w:pPr>
            <w:r w:rsidRPr="00E3221E">
              <w:rPr>
                <w:b/>
                <w:szCs w:val="24"/>
                <w:lang w:val="en-GB"/>
              </w:rPr>
              <w:t>Timing</w:t>
            </w:r>
          </w:p>
        </w:tc>
      </w:tr>
      <w:tr w:rsidR="00130EB9" w:rsidRPr="006D7FF8" w14:paraId="0BC04E11" w14:textId="77777777" w:rsidTr="00130EB9">
        <w:trPr>
          <w:gridBefore w:val="1"/>
          <w:gridAfter w:val="1"/>
          <w:wBefore w:w="1059" w:type="dxa"/>
          <w:wAfter w:w="945" w:type="dxa"/>
          <w:trHeight w:val="501"/>
        </w:trPr>
        <w:tc>
          <w:tcPr>
            <w:tcW w:w="750" w:type="dxa"/>
            <w:gridSpan w:val="2"/>
            <w:tcBorders>
              <w:left w:val="nil"/>
              <w:bottom w:val="nil"/>
            </w:tcBorders>
          </w:tcPr>
          <w:p w14:paraId="6555EDE8" w14:textId="77777777" w:rsidR="00130EB9" w:rsidRDefault="00130EB9" w:rsidP="0025138E">
            <w:pPr>
              <w:rPr>
                <w:szCs w:val="24"/>
                <w:lang w:val="en-GB"/>
              </w:rPr>
            </w:pPr>
          </w:p>
        </w:tc>
        <w:tc>
          <w:tcPr>
            <w:tcW w:w="5954" w:type="dxa"/>
            <w:gridSpan w:val="2"/>
          </w:tcPr>
          <w:p w14:paraId="2C94BC25"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w:t>
            </w:r>
            <w:r w:rsidR="006524C7">
              <w:rPr>
                <w:b/>
                <w:szCs w:val="24"/>
                <w:lang w:val="en-GB"/>
              </w:rPr>
              <w:t>1</w:t>
            </w:r>
            <w:r>
              <w:rPr>
                <w:b/>
                <w:szCs w:val="24"/>
                <w:lang w:val="en-GB"/>
              </w:rPr>
              <w:t>/20</w:t>
            </w:r>
            <w:r w:rsidR="00372801">
              <w:rPr>
                <w:b/>
                <w:szCs w:val="24"/>
                <w:lang w:val="en-GB"/>
              </w:rPr>
              <w:t>2</w:t>
            </w:r>
            <w:r w:rsidR="006524C7">
              <w:rPr>
                <w:b/>
                <w:szCs w:val="24"/>
                <w:lang w:val="en-GB"/>
              </w:rPr>
              <w:t>2</w:t>
            </w:r>
          </w:p>
          <w:p w14:paraId="610294BB" w14:textId="49EFF9F7" w:rsidR="00130EB9" w:rsidRPr="006D7FF8" w:rsidRDefault="00130EB9" w:rsidP="00313114">
            <w:pPr>
              <w:spacing w:before="0"/>
              <w:rPr>
                <w:szCs w:val="24"/>
                <w:lang w:val="en-GB"/>
              </w:rPr>
            </w:pPr>
            <w:r>
              <w:rPr>
                <w:szCs w:val="24"/>
                <w:lang w:val="en-GB"/>
              </w:rPr>
              <w:t>(the change will be considered for implementation in the yearly maintenance cycle which starts in 20</w:t>
            </w:r>
            <w:r w:rsidR="00313114">
              <w:rPr>
                <w:szCs w:val="24"/>
                <w:lang w:val="en-GB"/>
              </w:rPr>
              <w:t>21</w:t>
            </w:r>
            <w:r>
              <w:rPr>
                <w:szCs w:val="24"/>
                <w:lang w:val="en-GB"/>
              </w:rPr>
              <w:t xml:space="preserve"> and completes with the publication of new messag</w:t>
            </w:r>
            <w:r w:rsidR="00EB6791">
              <w:rPr>
                <w:szCs w:val="24"/>
                <w:lang w:val="en-GB"/>
              </w:rPr>
              <w:t>e versions in the spring of 20</w:t>
            </w:r>
            <w:r w:rsidR="00313114">
              <w:rPr>
                <w:szCs w:val="24"/>
                <w:lang w:val="en-GB"/>
              </w:rPr>
              <w:t>22</w:t>
            </w:r>
            <w:r>
              <w:rPr>
                <w:szCs w:val="24"/>
                <w:lang w:val="en-GB"/>
              </w:rPr>
              <w:t>)</w:t>
            </w:r>
          </w:p>
        </w:tc>
        <w:tc>
          <w:tcPr>
            <w:tcW w:w="425" w:type="dxa"/>
            <w:tcBorders>
              <w:bottom w:val="single" w:sz="4" w:space="0" w:color="auto"/>
            </w:tcBorders>
          </w:tcPr>
          <w:p w14:paraId="3B10BA1A" w14:textId="77777777" w:rsidR="00130EB9" w:rsidRPr="00AD7CD5" w:rsidRDefault="00130EB9" w:rsidP="0025138E">
            <w:pPr>
              <w:spacing w:before="0"/>
              <w:jc w:val="both"/>
              <w:rPr>
                <w:color w:val="FF0000"/>
                <w:szCs w:val="24"/>
                <w:lang w:val="en-GB"/>
              </w:rPr>
            </w:pPr>
          </w:p>
        </w:tc>
      </w:tr>
      <w:tr w:rsidR="00C40729" w:rsidRPr="006D7FF8" w14:paraId="76166863" w14:textId="77777777" w:rsidTr="00130EB9">
        <w:trPr>
          <w:gridBefore w:val="1"/>
          <w:gridAfter w:val="1"/>
          <w:wBefore w:w="1059" w:type="dxa"/>
          <w:wAfter w:w="945" w:type="dxa"/>
          <w:trHeight w:val="501"/>
        </w:trPr>
        <w:tc>
          <w:tcPr>
            <w:tcW w:w="750" w:type="dxa"/>
            <w:gridSpan w:val="2"/>
            <w:tcBorders>
              <w:top w:val="nil"/>
              <w:left w:val="nil"/>
              <w:bottom w:val="nil"/>
            </w:tcBorders>
          </w:tcPr>
          <w:p w14:paraId="6B7F94C0" w14:textId="77777777" w:rsidR="00C40729" w:rsidRDefault="00C40729" w:rsidP="0025138E">
            <w:pPr>
              <w:spacing w:before="0"/>
              <w:rPr>
                <w:szCs w:val="24"/>
                <w:lang w:val="en-GB"/>
              </w:rPr>
            </w:pPr>
          </w:p>
        </w:tc>
        <w:tc>
          <w:tcPr>
            <w:tcW w:w="5954" w:type="dxa"/>
            <w:gridSpan w:val="2"/>
          </w:tcPr>
          <w:p w14:paraId="187A7AE5"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DC96175"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1AC9D2C" w14:textId="77777777" w:rsidR="00C40729" w:rsidRPr="00AD7CD5" w:rsidRDefault="00C40729" w:rsidP="0025138E">
            <w:pPr>
              <w:spacing w:before="0"/>
              <w:jc w:val="center"/>
              <w:rPr>
                <w:color w:val="FF0000"/>
                <w:szCs w:val="24"/>
                <w:lang w:val="en-GB"/>
              </w:rPr>
            </w:pPr>
          </w:p>
        </w:tc>
      </w:tr>
      <w:tr w:rsidR="00C40729" w:rsidRPr="006D7FF8" w14:paraId="020BA4A4" w14:textId="77777777" w:rsidTr="00130EB9">
        <w:trPr>
          <w:gridBefore w:val="1"/>
          <w:wBefore w:w="1059" w:type="dxa"/>
          <w:trHeight w:val="511"/>
        </w:trPr>
        <w:tc>
          <w:tcPr>
            <w:tcW w:w="750" w:type="dxa"/>
            <w:gridSpan w:val="2"/>
            <w:tcBorders>
              <w:top w:val="nil"/>
              <w:left w:val="nil"/>
              <w:bottom w:val="nil"/>
            </w:tcBorders>
          </w:tcPr>
          <w:p w14:paraId="54AFA223" w14:textId="77777777" w:rsidR="00C40729" w:rsidRDefault="00C40729" w:rsidP="0025138E">
            <w:pPr>
              <w:spacing w:before="0"/>
              <w:rPr>
                <w:szCs w:val="24"/>
                <w:lang w:val="en-GB"/>
              </w:rPr>
            </w:pPr>
          </w:p>
        </w:tc>
        <w:tc>
          <w:tcPr>
            <w:tcW w:w="5954" w:type="dxa"/>
            <w:gridSpan w:val="2"/>
          </w:tcPr>
          <w:p w14:paraId="70EC0270"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92667D8"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416A8556"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2E8A131A" w14:textId="77777777" w:rsidR="00C40729" w:rsidRDefault="00C40729" w:rsidP="0025138E">
            <w:pPr>
              <w:ind w:left="360"/>
              <w:jc w:val="both"/>
              <w:rPr>
                <w:szCs w:val="24"/>
                <w:lang w:val="en-GB"/>
              </w:rPr>
            </w:pPr>
          </w:p>
        </w:tc>
      </w:tr>
      <w:tr w:rsidR="00C40729" w:rsidRPr="006D7FF8" w14:paraId="6487BF14" w14:textId="77777777" w:rsidTr="00130EB9">
        <w:trPr>
          <w:gridBefore w:val="1"/>
          <w:wBefore w:w="1059" w:type="dxa"/>
          <w:trHeight w:val="511"/>
        </w:trPr>
        <w:tc>
          <w:tcPr>
            <w:tcW w:w="750" w:type="dxa"/>
            <w:gridSpan w:val="2"/>
            <w:tcBorders>
              <w:top w:val="nil"/>
              <w:left w:val="nil"/>
              <w:bottom w:val="nil"/>
            </w:tcBorders>
          </w:tcPr>
          <w:p w14:paraId="13B7D30A" w14:textId="77777777" w:rsidR="00C40729" w:rsidRDefault="00C40729" w:rsidP="0025138E">
            <w:pPr>
              <w:spacing w:before="0"/>
              <w:rPr>
                <w:szCs w:val="24"/>
                <w:lang w:val="en-GB"/>
              </w:rPr>
            </w:pPr>
          </w:p>
        </w:tc>
        <w:tc>
          <w:tcPr>
            <w:tcW w:w="6379" w:type="dxa"/>
            <w:gridSpan w:val="3"/>
          </w:tcPr>
          <w:p w14:paraId="0E27E79A"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BECB592" w14:textId="77777777" w:rsidR="00C40729" w:rsidRDefault="00C40729" w:rsidP="0025138E">
            <w:pPr>
              <w:ind w:left="360"/>
              <w:jc w:val="both"/>
              <w:rPr>
                <w:szCs w:val="24"/>
                <w:lang w:val="en-GB"/>
              </w:rPr>
            </w:pPr>
          </w:p>
          <w:p w14:paraId="32FE657A" w14:textId="77777777" w:rsidR="00C40729" w:rsidRDefault="00C40729" w:rsidP="0025138E">
            <w:pPr>
              <w:ind w:left="360"/>
              <w:jc w:val="both"/>
              <w:rPr>
                <w:szCs w:val="24"/>
                <w:lang w:val="en-GB"/>
              </w:rPr>
            </w:pPr>
          </w:p>
        </w:tc>
      </w:tr>
    </w:tbl>
    <w:p w14:paraId="46BA403A" w14:textId="77777777" w:rsidR="00C41DDB" w:rsidRDefault="00C41DDB" w:rsidP="00567F13">
      <w:pPr>
        <w:rPr>
          <w:szCs w:val="24"/>
          <w:lang w:val="en-GB"/>
        </w:rPr>
      </w:pPr>
      <w:r>
        <w:rPr>
          <w:szCs w:val="24"/>
          <w:lang w:val="en-GB"/>
        </w:rPr>
        <w:t>Comments:</w:t>
      </w:r>
    </w:p>
    <w:p w14:paraId="723EC25D" w14:textId="77777777" w:rsidR="00C41DDB" w:rsidRDefault="00C41DDB" w:rsidP="00C41DDB">
      <w:pPr>
        <w:rPr>
          <w:szCs w:val="24"/>
          <w:lang w:val="en-GB"/>
        </w:rPr>
      </w:pPr>
    </w:p>
    <w:p w14:paraId="6CB36D0F"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5F3EADB9" w14:textId="77777777" w:rsidTr="00C40729">
        <w:tc>
          <w:tcPr>
            <w:tcW w:w="1242" w:type="dxa"/>
          </w:tcPr>
          <w:p w14:paraId="3A6BBB48" w14:textId="77777777" w:rsidR="00C41DDB" w:rsidRPr="00E3221E" w:rsidRDefault="00C41DDB" w:rsidP="00C41DDB">
            <w:pPr>
              <w:rPr>
                <w:b/>
                <w:szCs w:val="24"/>
                <w:lang w:val="en-GB"/>
              </w:rPr>
            </w:pPr>
            <w:r w:rsidRPr="00E3221E">
              <w:rPr>
                <w:b/>
                <w:szCs w:val="24"/>
                <w:lang w:val="en-GB"/>
              </w:rPr>
              <w:t>Reject</w:t>
            </w:r>
          </w:p>
        </w:tc>
        <w:tc>
          <w:tcPr>
            <w:tcW w:w="567" w:type="dxa"/>
          </w:tcPr>
          <w:p w14:paraId="51FC831C" w14:textId="42458DEF" w:rsidR="00C41DDB" w:rsidRPr="00AD7CD5" w:rsidRDefault="004C08B2" w:rsidP="00C41DDB">
            <w:pPr>
              <w:rPr>
                <w:color w:val="FF0000"/>
                <w:szCs w:val="24"/>
                <w:lang w:val="en-GB"/>
              </w:rPr>
            </w:pPr>
            <w:r>
              <w:rPr>
                <w:color w:val="FF0000"/>
                <w:szCs w:val="24"/>
                <w:lang w:val="en-GB"/>
              </w:rPr>
              <w:t>X</w:t>
            </w:r>
          </w:p>
        </w:tc>
      </w:tr>
    </w:tbl>
    <w:p w14:paraId="029B8946" w14:textId="77777777" w:rsidR="007D6A9F" w:rsidRPr="00567F13" w:rsidRDefault="00C41DDB" w:rsidP="00567F13">
      <w:pPr>
        <w:rPr>
          <w:szCs w:val="24"/>
          <w:lang w:val="en-GB"/>
        </w:rPr>
      </w:pPr>
      <w:r w:rsidRPr="00567F13">
        <w:rPr>
          <w:szCs w:val="24"/>
          <w:lang w:val="en-GB"/>
        </w:rPr>
        <w:t>Reason for rejection:</w:t>
      </w:r>
      <w:bookmarkStart w:id="4" w:name="_GoBack"/>
      <w:bookmarkEnd w:id="4"/>
    </w:p>
    <w:sectPr w:rsidR="007D6A9F" w:rsidRPr="00567F13" w:rsidSect="000A172E">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27D54" w14:textId="77777777" w:rsidR="005C1079" w:rsidRDefault="005C1079">
      <w:r>
        <w:separator/>
      </w:r>
    </w:p>
  </w:endnote>
  <w:endnote w:type="continuationSeparator" w:id="0">
    <w:p w14:paraId="005D582A" w14:textId="77777777" w:rsidR="005C1079" w:rsidRDefault="005C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0496" w14:textId="12B312AB" w:rsidR="00567F13" w:rsidRDefault="00313114">
    <w:pPr>
      <w:pStyle w:val="Footer"/>
      <w:rPr>
        <w:rStyle w:val="PageNumber"/>
      </w:rPr>
    </w:pPr>
    <w:fldSimple w:instr=" FILENAME \* MERGEFORMAT ">
      <w:r w:rsidR="004C08B2">
        <w:rPr>
          <w:noProof/>
        </w:rPr>
        <w:t>CR0994_DESSUG_CA_PSG_BalanceType_Registration_v2</w:t>
      </w:r>
    </w:fldSimple>
    <w:r w:rsidR="00B26D8B" w:rsidDel="00B26D8B">
      <w:t xml:space="preserve"> </w:t>
    </w:r>
    <w:r w:rsidR="00567F13">
      <w:tab/>
    </w:r>
    <w:r w:rsidR="00AA2483">
      <w:br/>
    </w:r>
    <w:r w:rsidR="00567F13">
      <w:t xml:space="preserve">Produced by </w:t>
    </w:r>
    <w:r w:rsidR="00B26D8B">
      <w:t>DESSUG-CA PSG</w:t>
    </w:r>
    <w:r w:rsidR="00567F13">
      <w:tab/>
    </w:r>
    <w:r w:rsidR="00AA2483">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4C08B2">
      <w:rPr>
        <w:rStyle w:val="PageNumber"/>
        <w:noProof/>
      </w:rPr>
      <w:t>4</w:t>
    </w:r>
    <w:r w:rsidR="00567F13">
      <w:rPr>
        <w:rStyle w:val="PageNumber"/>
      </w:rPr>
      <w:fldChar w:fldCharType="end"/>
    </w:r>
  </w:p>
  <w:p w14:paraId="4530D991" w14:textId="77777777" w:rsidR="00567F13" w:rsidRDefault="00567F13">
    <w:pPr>
      <w:pStyle w:val="Footer"/>
      <w:rPr>
        <w:rStyle w:val="PageNumber"/>
      </w:rPr>
    </w:pPr>
  </w:p>
  <w:p w14:paraId="7E1758C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2BD3A" w14:textId="77777777" w:rsidR="005C1079" w:rsidRDefault="005C1079">
      <w:r>
        <w:separator/>
      </w:r>
    </w:p>
  </w:footnote>
  <w:footnote w:type="continuationSeparator" w:id="0">
    <w:p w14:paraId="2A04DC9C" w14:textId="77777777" w:rsidR="005C1079" w:rsidRDefault="005C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144E" w14:textId="18023381" w:rsidR="00E74C04" w:rsidRPr="00801493" w:rsidRDefault="00801493">
    <w:pPr>
      <w:pStyle w:val="Header"/>
      <w:rPr>
        <w:lang w:val="fr-BE"/>
      </w:rPr>
    </w:pPr>
    <w:r>
      <w:rPr>
        <w:lang w:val="fr-BE"/>
      </w:rPr>
      <w:t xml:space="preserve">RA ID : </w:t>
    </w:r>
    <w:r w:rsidR="006726C0">
      <w:rPr>
        <w:lang w:val="fr-BE"/>
      </w:rPr>
      <w:t>CR0994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4C5167B"/>
    <w:multiLevelType w:val="hybridMultilevel"/>
    <w:tmpl w:val="22B25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9"/>
  </w:num>
  <w:num w:numId="7">
    <w:abstractNumId w:val="12"/>
  </w:num>
  <w:num w:numId="8">
    <w:abstractNumId w:val="10"/>
  </w:num>
  <w:num w:numId="9">
    <w:abstractNumId w:val="15"/>
  </w:num>
  <w:num w:numId="10">
    <w:abstractNumId w:val="6"/>
  </w:num>
  <w:num w:numId="11">
    <w:abstractNumId w:val="8"/>
  </w:num>
  <w:num w:numId="12">
    <w:abstractNumId w:val="11"/>
  </w:num>
  <w:num w:numId="13">
    <w:abstractNumId w:val="4"/>
  </w:num>
  <w:num w:numId="14">
    <w:abstractNumId w:val="7"/>
  </w:num>
  <w:num w:numId="15">
    <w:abstractNumId w:val="1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048EA"/>
    <w:rsid w:val="000127ED"/>
    <w:rsid w:val="00021C86"/>
    <w:rsid w:val="00026858"/>
    <w:rsid w:val="0003395A"/>
    <w:rsid w:val="000408BA"/>
    <w:rsid w:val="00041661"/>
    <w:rsid w:val="000558EF"/>
    <w:rsid w:val="0006293F"/>
    <w:rsid w:val="00070308"/>
    <w:rsid w:val="00080D3A"/>
    <w:rsid w:val="0008147C"/>
    <w:rsid w:val="000823AA"/>
    <w:rsid w:val="00082743"/>
    <w:rsid w:val="000837C7"/>
    <w:rsid w:val="00083C96"/>
    <w:rsid w:val="00087F7D"/>
    <w:rsid w:val="000A172E"/>
    <w:rsid w:val="000A20E4"/>
    <w:rsid w:val="000B65C7"/>
    <w:rsid w:val="000C015D"/>
    <w:rsid w:val="000D5D39"/>
    <w:rsid w:val="000E2471"/>
    <w:rsid w:val="000E7941"/>
    <w:rsid w:val="000F3C8B"/>
    <w:rsid w:val="000F43E3"/>
    <w:rsid w:val="00101212"/>
    <w:rsid w:val="00101D5F"/>
    <w:rsid w:val="00105754"/>
    <w:rsid w:val="00106DBB"/>
    <w:rsid w:val="00130EB9"/>
    <w:rsid w:val="0014379C"/>
    <w:rsid w:val="00153ED1"/>
    <w:rsid w:val="00163DB3"/>
    <w:rsid w:val="001711D3"/>
    <w:rsid w:val="00185453"/>
    <w:rsid w:val="00185E8E"/>
    <w:rsid w:val="0019232A"/>
    <w:rsid w:val="00194696"/>
    <w:rsid w:val="001B1858"/>
    <w:rsid w:val="001D0D1B"/>
    <w:rsid w:val="001D176B"/>
    <w:rsid w:val="001D20B3"/>
    <w:rsid w:val="001E24FE"/>
    <w:rsid w:val="001E287E"/>
    <w:rsid w:val="001E2B1C"/>
    <w:rsid w:val="001E3BCF"/>
    <w:rsid w:val="00204B72"/>
    <w:rsid w:val="00217122"/>
    <w:rsid w:val="00217AE9"/>
    <w:rsid w:val="002207E8"/>
    <w:rsid w:val="00225AA9"/>
    <w:rsid w:val="00230574"/>
    <w:rsid w:val="00231CFF"/>
    <w:rsid w:val="00232595"/>
    <w:rsid w:val="00243170"/>
    <w:rsid w:val="002472D9"/>
    <w:rsid w:val="002509A2"/>
    <w:rsid w:val="0025138E"/>
    <w:rsid w:val="002521C9"/>
    <w:rsid w:val="002711E6"/>
    <w:rsid w:val="002746C1"/>
    <w:rsid w:val="00280971"/>
    <w:rsid w:val="002904C8"/>
    <w:rsid w:val="002B0567"/>
    <w:rsid w:val="002D549A"/>
    <w:rsid w:val="002E014D"/>
    <w:rsid w:val="002E27A9"/>
    <w:rsid w:val="002E2E0C"/>
    <w:rsid w:val="003006F2"/>
    <w:rsid w:val="003014E7"/>
    <w:rsid w:val="00303E94"/>
    <w:rsid w:val="00304151"/>
    <w:rsid w:val="003123E2"/>
    <w:rsid w:val="00313114"/>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117AE"/>
    <w:rsid w:val="00423B13"/>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C08B2"/>
    <w:rsid w:val="004D7B9B"/>
    <w:rsid w:val="004E1F21"/>
    <w:rsid w:val="004F0578"/>
    <w:rsid w:val="004F0934"/>
    <w:rsid w:val="004F61D5"/>
    <w:rsid w:val="0050171A"/>
    <w:rsid w:val="0052302E"/>
    <w:rsid w:val="005246BE"/>
    <w:rsid w:val="005411C7"/>
    <w:rsid w:val="00555709"/>
    <w:rsid w:val="0056096D"/>
    <w:rsid w:val="00563FFF"/>
    <w:rsid w:val="005677B8"/>
    <w:rsid w:val="00567F13"/>
    <w:rsid w:val="005700F8"/>
    <w:rsid w:val="00573C83"/>
    <w:rsid w:val="0057618A"/>
    <w:rsid w:val="00577861"/>
    <w:rsid w:val="00577BCC"/>
    <w:rsid w:val="005810CA"/>
    <w:rsid w:val="0058193F"/>
    <w:rsid w:val="00594A5F"/>
    <w:rsid w:val="005960E2"/>
    <w:rsid w:val="00596453"/>
    <w:rsid w:val="005A1AA5"/>
    <w:rsid w:val="005A7F37"/>
    <w:rsid w:val="005B4CAC"/>
    <w:rsid w:val="005B602E"/>
    <w:rsid w:val="005C1079"/>
    <w:rsid w:val="005C4C5F"/>
    <w:rsid w:val="005D06FE"/>
    <w:rsid w:val="005D7531"/>
    <w:rsid w:val="005E1210"/>
    <w:rsid w:val="005E3784"/>
    <w:rsid w:val="005E46E4"/>
    <w:rsid w:val="005F05DB"/>
    <w:rsid w:val="005F2E6B"/>
    <w:rsid w:val="005F3D32"/>
    <w:rsid w:val="005F5BB9"/>
    <w:rsid w:val="006043A9"/>
    <w:rsid w:val="00610B1B"/>
    <w:rsid w:val="00610F9A"/>
    <w:rsid w:val="006316E5"/>
    <w:rsid w:val="00631A43"/>
    <w:rsid w:val="0063312E"/>
    <w:rsid w:val="00633B0A"/>
    <w:rsid w:val="006524C7"/>
    <w:rsid w:val="006643DC"/>
    <w:rsid w:val="006726C0"/>
    <w:rsid w:val="006A02BC"/>
    <w:rsid w:val="006A7B96"/>
    <w:rsid w:val="006B20DC"/>
    <w:rsid w:val="006D4A37"/>
    <w:rsid w:val="006E2522"/>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0FA2"/>
    <w:rsid w:val="0084123C"/>
    <w:rsid w:val="008438AF"/>
    <w:rsid w:val="00843FE8"/>
    <w:rsid w:val="008468C8"/>
    <w:rsid w:val="00854FA6"/>
    <w:rsid w:val="0085530C"/>
    <w:rsid w:val="00861DA2"/>
    <w:rsid w:val="0086406A"/>
    <w:rsid w:val="008656A6"/>
    <w:rsid w:val="00865C2F"/>
    <w:rsid w:val="0086676E"/>
    <w:rsid w:val="00871DF1"/>
    <w:rsid w:val="00875210"/>
    <w:rsid w:val="008869D6"/>
    <w:rsid w:val="008A7F65"/>
    <w:rsid w:val="008F4F33"/>
    <w:rsid w:val="008F5C90"/>
    <w:rsid w:val="00906C6A"/>
    <w:rsid w:val="00912F60"/>
    <w:rsid w:val="00914273"/>
    <w:rsid w:val="00916A80"/>
    <w:rsid w:val="009279BF"/>
    <w:rsid w:val="00937D26"/>
    <w:rsid w:val="00951C86"/>
    <w:rsid w:val="00956D7A"/>
    <w:rsid w:val="00965199"/>
    <w:rsid w:val="00966046"/>
    <w:rsid w:val="00972867"/>
    <w:rsid w:val="009740C8"/>
    <w:rsid w:val="009770EE"/>
    <w:rsid w:val="009A4E41"/>
    <w:rsid w:val="009C1445"/>
    <w:rsid w:val="00A10221"/>
    <w:rsid w:val="00A21B8D"/>
    <w:rsid w:val="00A22F1A"/>
    <w:rsid w:val="00A25B84"/>
    <w:rsid w:val="00A32450"/>
    <w:rsid w:val="00A46877"/>
    <w:rsid w:val="00A47C6F"/>
    <w:rsid w:val="00A54478"/>
    <w:rsid w:val="00A5492F"/>
    <w:rsid w:val="00A60DC3"/>
    <w:rsid w:val="00A60E56"/>
    <w:rsid w:val="00A862D2"/>
    <w:rsid w:val="00A91F56"/>
    <w:rsid w:val="00A95C30"/>
    <w:rsid w:val="00AA2483"/>
    <w:rsid w:val="00AA5E76"/>
    <w:rsid w:val="00AC57F6"/>
    <w:rsid w:val="00AD7BF2"/>
    <w:rsid w:val="00AD7CD5"/>
    <w:rsid w:val="00AE0A90"/>
    <w:rsid w:val="00AE4D14"/>
    <w:rsid w:val="00AF09E1"/>
    <w:rsid w:val="00AF2EBF"/>
    <w:rsid w:val="00AF50A0"/>
    <w:rsid w:val="00B01132"/>
    <w:rsid w:val="00B06CA8"/>
    <w:rsid w:val="00B06DAF"/>
    <w:rsid w:val="00B121B9"/>
    <w:rsid w:val="00B21761"/>
    <w:rsid w:val="00B21FA3"/>
    <w:rsid w:val="00B26D8B"/>
    <w:rsid w:val="00B307A7"/>
    <w:rsid w:val="00B30D86"/>
    <w:rsid w:val="00B329EC"/>
    <w:rsid w:val="00B44DEE"/>
    <w:rsid w:val="00B45490"/>
    <w:rsid w:val="00B5520C"/>
    <w:rsid w:val="00B65C66"/>
    <w:rsid w:val="00B70B84"/>
    <w:rsid w:val="00B74C6C"/>
    <w:rsid w:val="00B82D3E"/>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28A4"/>
    <w:rsid w:val="00C46C5A"/>
    <w:rsid w:val="00C52ABE"/>
    <w:rsid w:val="00C656B1"/>
    <w:rsid w:val="00CB683A"/>
    <w:rsid w:val="00CB7C2C"/>
    <w:rsid w:val="00CC062F"/>
    <w:rsid w:val="00CC1768"/>
    <w:rsid w:val="00CC68E1"/>
    <w:rsid w:val="00CD0745"/>
    <w:rsid w:val="00CD363B"/>
    <w:rsid w:val="00CD3C90"/>
    <w:rsid w:val="00CD439C"/>
    <w:rsid w:val="00CD59B1"/>
    <w:rsid w:val="00CF098A"/>
    <w:rsid w:val="00CF3041"/>
    <w:rsid w:val="00CF30CF"/>
    <w:rsid w:val="00CF6A62"/>
    <w:rsid w:val="00D123C1"/>
    <w:rsid w:val="00D234FD"/>
    <w:rsid w:val="00D2600B"/>
    <w:rsid w:val="00D51B61"/>
    <w:rsid w:val="00D56571"/>
    <w:rsid w:val="00D67DE0"/>
    <w:rsid w:val="00D74F66"/>
    <w:rsid w:val="00D82FBD"/>
    <w:rsid w:val="00D90AC6"/>
    <w:rsid w:val="00D9338F"/>
    <w:rsid w:val="00D9582C"/>
    <w:rsid w:val="00DA043A"/>
    <w:rsid w:val="00DA116C"/>
    <w:rsid w:val="00DA22C9"/>
    <w:rsid w:val="00DB419A"/>
    <w:rsid w:val="00DC195F"/>
    <w:rsid w:val="00DC68D5"/>
    <w:rsid w:val="00DD37B4"/>
    <w:rsid w:val="00DD422D"/>
    <w:rsid w:val="00DD512C"/>
    <w:rsid w:val="00E11D29"/>
    <w:rsid w:val="00E1588B"/>
    <w:rsid w:val="00E256FC"/>
    <w:rsid w:val="00E32092"/>
    <w:rsid w:val="00E3221E"/>
    <w:rsid w:val="00E37E77"/>
    <w:rsid w:val="00E5111B"/>
    <w:rsid w:val="00E561E0"/>
    <w:rsid w:val="00E67D1B"/>
    <w:rsid w:val="00E74C04"/>
    <w:rsid w:val="00E7537D"/>
    <w:rsid w:val="00E845AB"/>
    <w:rsid w:val="00E8579D"/>
    <w:rsid w:val="00E928F1"/>
    <w:rsid w:val="00E92C21"/>
    <w:rsid w:val="00EA0A58"/>
    <w:rsid w:val="00EA246B"/>
    <w:rsid w:val="00EA3454"/>
    <w:rsid w:val="00EB1A1A"/>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87B06"/>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2F90B0F"/>
  <w15:chartTrackingRefBased/>
  <w15:docId w15:val="{5C7E6DF3-A75C-48C4-B466-380D0F76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uiPriority w:val="99"/>
    <w:semiHidden/>
    <w:unhideWhenUsed/>
    <w:rsid w:val="00AD7BF2"/>
    <w:rPr>
      <w:color w:val="605E5C"/>
      <w:shd w:val="clear" w:color="auto" w:fill="E1DFDD"/>
    </w:rPr>
  </w:style>
  <w:style w:type="paragraph" w:styleId="ListParagraph">
    <w:name w:val="List Paragraph"/>
    <w:basedOn w:val="Normal"/>
    <w:uiPriority w:val="34"/>
    <w:qFormat/>
    <w:rsid w:val="00672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0514">
      <w:bodyDiv w:val="1"/>
      <w:marLeft w:val="0"/>
      <w:marRight w:val="0"/>
      <w:marTop w:val="0"/>
      <w:marBottom w:val="0"/>
      <w:divBdr>
        <w:top w:val="none" w:sz="0" w:space="0" w:color="auto"/>
        <w:left w:val="none" w:sz="0" w:space="0" w:color="auto"/>
        <w:bottom w:val="none" w:sz="0" w:space="0" w:color="auto"/>
        <w:right w:val="none" w:sz="0" w:space="0" w:color="auto"/>
      </w:divBdr>
    </w:div>
    <w:div w:id="43912568">
      <w:bodyDiv w:val="1"/>
      <w:marLeft w:val="0"/>
      <w:marRight w:val="0"/>
      <w:marTop w:val="0"/>
      <w:marBottom w:val="0"/>
      <w:divBdr>
        <w:top w:val="none" w:sz="0" w:space="0" w:color="auto"/>
        <w:left w:val="none" w:sz="0" w:space="0" w:color="auto"/>
        <w:bottom w:val="none" w:sz="0" w:space="0" w:color="auto"/>
        <w:right w:val="none" w:sz="0" w:space="0" w:color="auto"/>
      </w:divBdr>
    </w:div>
    <w:div w:id="254673808">
      <w:bodyDiv w:val="1"/>
      <w:marLeft w:val="0"/>
      <w:marRight w:val="0"/>
      <w:marTop w:val="0"/>
      <w:marBottom w:val="0"/>
      <w:divBdr>
        <w:top w:val="none" w:sz="0" w:space="0" w:color="auto"/>
        <w:left w:val="none" w:sz="0" w:space="0" w:color="auto"/>
        <w:bottom w:val="none" w:sz="0" w:space="0" w:color="auto"/>
        <w:right w:val="none" w:sz="0" w:space="0" w:color="auto"/>
      </w:divBdr>
    </w:div>
    <w:div w:id="279147372">
      <w:bodyDiv w:val="1"/>
      <w:marLeft w:val="0"/>
      <w:marRight w:val="0"/>
      <w:marTop w:val="0"/>
      <w:marBottom w:val="0"/>
      <w:divBdr>
        <w:top w:val="none" w:sz="0" w:space="0" w:color="auto"/>
        <w:left w:val="none" w:sz="0" w:space="0" w:color="auto"/>
        <w:bottom w:val="none" w:sz="0" w:space="0" w:color="auto"/>
        <w:right w:val="none" w:sz="0" w:space="0" w:color="auto"/>
      </w:divBdr>
    </w:div>
    <w:div w:id="975909447">
      <w:bodyDiv w:val="1"/>
      <w:marLeft w:val="0"/>
      <w:marRight w:val="0"/>
      <w:marTop w:val="0"/>
      <w:marBottom w:val="0"/>
      <w:divBdr>
        <w:top w:val="none" w:sz="0" w:space="0" w:color="auto"/>
        <w:left w:val="none" w:sz="0" w:space="0" w:color="auto"/>
        <w:bottom w:val="none" w:sz="0" w:space="0" w:color="auto"/>
        <w:right w:val="none" w:sz="0" w:space="0" w:color="auto"/>
      </w:divBdr>
    </w:div>
    <w:div w:id="1252084349">
      <w:bodyDiv w:val="1"/>
      <w:marLeft w:val="0"/>
      <w:marRight w:val="0"/>
      <w:marTop w:val="0"/>
      <w:marBottom w:val="0"/>
      <w:divBdr>
        <w:top w:val="none" w:sz="0" w:space="0" w:color="auto"/>
        <w:left w:val="none" w:sz="0" w:space="0" w:color="auto"/>
        <w:bottom w:val="none" w:sz="0" w:space="0" w:color="auto"/>
        <w:right w:val="none" w:sz="0" w:space="0" w:color="auto"/>
      </w:divBdr>
    </w:div>
    <w:div w:id="1403681380">
      <w:bodyDiv w:val="1"/>
      <w:marLeft w:val="0"/>
      <w:marRight w:val="0"/>
      <w:marTop w:val="0"/>
      <w:marBottom w:val="0"/>
      <w:divBdr>
        <w:top w:val="none" w:sz="0" w:space="0" w:color="auto"/>
        <w:left w:val="none" w:sz="0" w:space="0" w:color="auto"/>
        <w:bottom w:val="none" w:sz="0" w:space="0" w:color="auto"/>
        <w:right w:val="none" w:sz="0" w:space="0" w:color="auto"/>
      </w:divBdr>
    </w:div>
    <w:div w:id="1828208639">
      <w:bodyDiv w:val="1"/>
      <w:marLeft w:val="0"/>
      <w:marRight w:val="0"/>
      <w:marTop w:val="0"/>
      <w:marBottom w:val="0"/>
      <w:divBdr>
        <w:top w:val="none" w:sz="0" w:space="0" w:color="auto"/>
        <w:left w:val="none" w:sz="0" w:space="0" w:color="auto"/>
        <w:bottom w:val="none" w:sz="0" w:space="0" w:color="auto"/>
        <w:right w:val="none" w:sz="0" w:space="0" w:color="auto"/>
      </w:divBdr>
    </w:div>
    <w:div w:id="1909538499">
      <w:bodyDiv w:val="1"/>
      <w:marLeft w:val="0"/>
      <w:marRight w:val="0"/>
      <w:marTop w:val="0"/>
      <w:marBottom w:val="0"/>
      <w:divBdr>
        <w:top w:val="none" w:sz="0" w:space="0" w:color="auto"/>
        <w:left w:val="none" w:sz="0" w:space="0" w:color="auto"/>
        <w:bottom w:val="none" w:sz="0" w:space="0" w:color="auto"/>
        <w:right w:val="none" w:sz="0" w:space="0" w:color="auto"/>
      </w:divBdr>
    </w:div>
    <w:div w:id="1930961521">
      <w:bodyDiv w:val="1"/>
      <w:marLeft w:val="0"/>
      <w:marRight w:val="0"/>
      <w:marTop w:val="0"/>
      <w:marBottom w:val="0"/>
      <w:divBdr>
        <w:top w:val="none" w:sz="0" w:space="0" w:color="auto"/>
        <w:left w:val="none" w:sz="0" w:space="0" w:color="auto"/>
        <w:bottom w:val="none" w:sz="0" w:space="0" w:color="auto"/>
        <w:right w:val="none" w:sz="0" w:space="0" w:color="auto"/>
      </w:divBdr>
    </w:div>
    <w:div w:id="20396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iner.Prior@linkmarketservices.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ven-a.gunkel@d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bine.Wolff@clearstream.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aniel.Schaefer@hsbc.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PC9zaXNsPjxVc2VyTmFtZT5PQUFEXHd4NDI0PC9Vc2VyTmFtZT48RGF0ZVRpbWU+MjYvMDIvMjAyMSAwODoxNjozNDwvRGF0ZVRpbWU+PExhYmVsU3RyaW5nPlB1YmxpYz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5e216652-7cb1-42d3-a22f-fb5c7f348db5"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DF6A-DD95-4CE3-A333-40518B8D8F4E}">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326E0A23-B0BB-4702-B389-E72255A98FA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78BE1B5-11AF-4DFB-A5FD-40BC1AC7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6854</CharactersWithSpaces>
  <SharedDoc>false</SharedDoc>
  <HLinks>
    <vt:vector size="36" baseType="variant">
      <vt:variant>
        <vt:i4>5177415</vt:i4>
      </vt:variant>
      <vt:variant>
        <vt:i4>15</vt:i4>
      </vt:variant>
      <vt:variant>
        <vt:i4>0</vt:i4>
      </vt:variant>
      <vt:variant>
        <vt:i4>5</vt:i4>
      </vt:variant>
      <vt:variant>
        <vt:lpwstr>http://www.iso20022.org/catalogue_of_messages.page</vt:lpwstr>
      </vt:variant>
      <vt:variant>
        <vt:lpwstr/>
      </vt:variant>
      <vt:variant>
        <vt:i4>5636145</vt:i4>
      </vt:variant>
      <vt:variant>
        <vt:i4>12</vt:i4>
      </vt:variant>
      <vt:variant>
        <vt:i4>0</vt:i4>
      </vt:variant>
      <vt:variant>
        <vt:i4>5</vt:i4>
      </vt:variant>
      <vt:variant>
        <vt:lpwstr>mailto:Sabine.Wolff@clearstream.com</vt:lpwstr>
      </vt:variant>
      <vt:variant>
        <vt:lpwstr/>
      </vt:variant>
      <vt:variant>
        <vt:i4>7602177</vt:i4>
      </vt:variant>
      <vt:variant>
        <vt:i4>9</vt:i4>
      </vt:variant>
      <vt:variant>
        <vt:i4>0</vt:i4>
      </vt:variant>
      <vt:variant>
        <vt:i4>5</vt:i4>
      </vt:variant>
      <vt:variant>
        <vt:lpwstr>mailto:Daniel.Schaefer@hsbc.de</vt:lpwstr>
      </vt:variant>
      <vt:variant>
        <vt:lpwstr/>
      </vt:variant>
      <vt:variant>
        <vt:i4>720937</vt:i4>
      </vt:variant>
      <vt:variant>
        <vt:i4>6</vt:i4>
      </vt:variant>
      <vt:variant>
        <vt:i4>0</vt:i4>
      </vt:variant>
      <vt:variant>
        <vt:i4>5</vt:i4>
      </vt:variant>
      <vt:variant>
        <vt:lpwstr>mailto:hmelchior@statestreet.com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Limited Access</cp:keywords>
  <cp:lastModifiedBy>BINON Kaat</cp:lastModifiedBy>
  <cp:revision>3</cp:revision>
  <cp:lastPrinted>2009-03-10T11:18:00Z</cp:lastPrinted>
  <dcterms:created xsi:type="dcterms:W3CDTF">2021-08-04T08:38:00Z</dcterms:created>
  <dcterms:modified xsi:type="dcterms:W3CDTF">2021-08-04T08:39:00Z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f31bc838-c8cd-40d5-bd0c-21482dd8b307</vt:lpwstr>
  </property>
  <property fmtid="{D5CDD505-2E9C-101B-9397-08002B2CF9AE}" pid="3" name="_NewReviewCycle">
    <vt:lpwstr/>
  </property>
  <property fmtid="{D5CDD505-2E9C-101B-9397-08002B2CF9AE}" pid="4" name="docIndexRef">
    <vt:lpwstr>191ef481-fd98-47ba-b902-4950f5b8caf4</vt:lpwstr>
  </property>
  <property fmtid="{D5CDD505-2E9C-101B-9397-08002B2CF9AE}" pid="5" name="bjSaver">
    <vt:lpwstr>yiTg+cu4caFlXHVkQOkOmOiM/xni14hu</vt:lpwstr>
  </property>
  <property fmtid="{D5CDD505-2E9C-101B-9397-08002B2CF9AE}" pid="6"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Public</vt:lpwstr>
  </property>
  <property fmtid="{D5CDD505-2E9C-101B-9397-08002B2CF9AE}" pid="9" name="DBG_Classification_ID">
    <vt:lpwstr>1</vt:lpwstr>
  </property>
  <property fmtid="{D5CDD505-2E9C-101B-9397-08002B2CF9AE}" pid="10" name="DBG_Classification_Name">
    <vt:lpwstr>Public</vt:lpwstr>
  </property>
  <property fmtid="{D5CDD505-2E9C-101B-9397-08002B2CF9AE}" pid="11" name="bjLabelHistoryID">
    <vt:lpwstr>{5976DF6A-DD95-4CE3-A333-40518B8D8F4E}</vt:lpwstr>
  </property>
  <property fmtid="{D5CDD505-2E9C-101B-9397-08002B2CF9AE}" pid="12" name="SSCClassification">
    <vt:lpwstr>LA</vt:lpwstr>
  </property>
  <property fmtid="{D5CDD505-2E9C-101B-9397-08002B2CF9AE}" pid="13" name="SSCVisualMarks">
    <vt:lpwstr>N</vt:lpwstr>
  </property>
</Properties>
</file>