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1639BE" w:rsidRDefault="008438AF" w:rsidP="001639BE">
      <w:pPr>
        <w:rPr>
          <w:szCs w:val="24"/>
          <w:lang w:val="en-GB"/>
        </w:rPr>
      </w:pPr>
      <w:r w:rsidRPr="008438AF">
        <w:rPr>
          <w:i/>
          <w:szCs w:val="24"/>
          <w:lang w:val="en-GB"/>
        </w:rPr>
        <w:t>A.1 Submitter</w:t>
      </w:r>
      <w:r>
        <w:rPr>
          <w:szCs w:val="24"/>
          <w:lang w:val="en-GB"/>
        </w:rPr>
        <w:t xml:space="preserve">: </w:t>
      </w:r>
    </w:p>
    <w:p w:rsidR="000408BA" w:rsidRDefault="001639BE" w:rsidP="00BC6D26">
      <w:pPr>
        <w:numPr>
          <w:ilvl w:val="0"/>
          <w:numId w:val="17"/>
        </w:numPr>
        <w:rPr>
          <w:szCs w:val="24"/>
          <w:lang w:val="en-GB"/>
        </w:rPr>
      </w:pPr>
      <w:r w:rsidRPr="001639BE">
        <w:rPr>
          <w:szCs w:val="24"/>
          <w:lang w:val="en-GB"/>
        </w:rPr>
        <w:t>European Central Bank</w:t>
      </w:r>
      <w:r>
        <w:rPr>
          <w:szCs w:val="24"/>
          <w:lang w:val="en-GB"/>
        </w:rPr>
        <w:t xml:space="preserve">, </w:t>
      </w:r>
      <w:r w:rsidRPr="001639BE">
        <w:rPr>
          <w:szCs w:val="24"/>
          <w:lang w:val="en-GB"/>
        </w:rPr>
        <w:t>Sonnemannstrasse 22</w:t>
      </w:r>
      <w:r>
        <w:rPr>
          <w:szCs w:val="24"/>
          <w:lang w:val="en-GB"/>
        </w:rPr>
        <w:t xml:space="preserve">, </w:t>
      </w:r>
      <w:r w:rsidRPr="001639BE">
        <w:rPr>
          <w:szCs w:val="24"/>
          <w:lang w:val="en-GB"/>
        </w:rPr>
        <w:t>60314 Frankfurt am Main</w:t>
      </w:r>
      <w:r>
        <w:rPr>
          <w:szCs w:val="24"/>
          <w:lang w:val="en-GB"/>
        </w:rPr>
        <w:t xml:space="preserve">, </w:t>
      </w:r>
      <w:r w:rsidRPr="001639BE">
        <w:rPr>
          <w:szCs w:val="24"/>
          <w:lang w:val="en-GB"/>
        </w:rPr>
        <w:t>Germany</w:t>
      </w:r>
    </w:p>
    <w:p w:rsidR="001639BE" w:rsidRDefault="001639BE" w:rsidP="00BC6D26">
      <w:pPr>
        <w:numPr>
          <w:ilvl w:val="0"/>
          <w:numId w:val="17"/>
        </w:numPr>
        <w:rPr>
          <w:szCs w:val="24"/>
          <w:lang w:val="fr-FR"/>
        </w:rPr>
      </w:pPr>
      <w:r w:rsidRPr="001639BE">
        <w:rPr>
          <w:szCs w:val="24"/>
          <w:lang w:val="fr-FR"/>
        </w:rPr>
        <w:t xml:space="preserve">Banque de </w:t>
      </w:r>
      <w:r>
        <w:rPr>
          <w:szCs w:val="24"/>
          <w:lang w:val="fr-FR"/>
        </w:rPr>
        <w:t xml:space="preserve">France, </w:t>
      </w:r>
      <w:r w:rsidRPr="001639BE">
        <w:rPr>
          <w:szCs w:val="24"/>
          <w:lang w:val="fr-FR"/>
        </w:rPr>
        <w:t>31 rue Croix des Petits-Champs</w:t>
      </w:r>
      <w:r>
        <w:rPr>
          <w:szCs w:val="24"/>
          <w:lang w:val="fr-FR"/>
        </w:rPr>
        <w:t xml:space="preserve">, </w:t>
      </w:r>
      <w:r w:rsidRPr="001639BE">
        <w:rPr>
          <w:szCs w:val="24"/>
          <w:lang w:val="fr-FR"/>
        </w:rPr>
        <w:t>75049 Paris cedex 01</w:t>
      </w:r>
      <w:r>
        <w:rPr>
          <w:szCs w:val="24"/>
          <w:lang w:val="fr-FR"/>
        </w:rPr>
        <w:t>, France</w:t>
      </w:r>
    </w:p>
    <w:p w:rsidR="001639BE" w:rsidRDefault="001639BE" w:rsidP="00BC6D26">
      <w:pPr>
        <w:numPr>
          <w:ilvl w:val="0"/>
          <w:numId w:val="17"/>
        </w:numPr>
        <w:rPr>
          <w:szCs w:val="24"/>
          <w:lang w:val="es-MX"/>
        </w:rPr>
      </w:pPr>
      <w:r w:rsidRPr="001639BE">
        <w:rPr>
          <w:szCs w:val="24"/>
          <w:lang w:val="es-MX"/>
        </w:rPr>
        <w:t>Banco de España</w:t>
      </w:r>
      <w:r>
        <w:rPr>
          <w:szCs w:val="24"/>
          <w:lang w:val="es-MX"/>
        </w:rPr>
        <w:t xml:space="preserve">, </w:t>
      </w:r>
      <w:r w:rsidRPr="001639BE">
        <w:rPr>
          <w:szCs w:val="24"/>
          <w:lang w:val="es-MX"/>
        </w:rPr>
        <w:t>C/ Alcalá, 48</w:t>
      </w:r>
      <w:r>
        <w:rPr>
          <w:szCs w:val="24"/>
          <w:lang w:val="es-MX"/>
        </w:rPr>
        <w:t xml:space="preserve">, </w:t>
      </w:r>
      <w:r w:rsidRPr="001639BE">
        <w:rPr>
          <w:szCs w:val="24"/>
          <w:lang w:val="es-MX"/>
        </w:rPr>
        <w:t>28014 Madrid</w:t>
      </w:r>
      <w:r>
        <w:rPr>
          <w:szCs w:val="24"/>
          <w:lang w:val="es-MX"/>
        </w:rPr>
        <w:t xml:space="preserve">, </w:t>
      </w:r>
      <w:proofErr w:type="spellStart"/>
      <w:r w:rsidRPr="001639BE">
        <w:rPr>
          <w:szCs w:val="24"/>
          <w:lang w:val="es-MX"/>
        </w:rPr>
        <w:t>Spain</w:t>
      </w:r>
      <w:proofErr w:type="spellEnd"/>
    </w:p>
    <w:p w:rsidR="001639BE" w:rsidRDefault="001639BE" w:rsidP="00BC6D26">
      <w:pPr>
        <w:numPr>
          <w:ilvl w:val="0"/>
          <w:numId w:val="17"/>
        </w:numPr>
        <w:rPr>
          <w:szCs w:val="24"/>
          <w:lang w:val="de-DE"/>
        </w:rPr>
      </w:pPr>
      <w:r>
        <w:rPr>
          <w:szCs w:val="24"/>
          <w:lang w:val="de-DE"/>
        </w:rPr>
        <w:t xml:space="preserve">Deutsche Bundesbank, </w:t>
      </w:r>
      <w:r w:rsidRPr="001639BE">
        <w:rPr>
          <w:szCs w:val="24"/>
          <w:lang w:val="de-DE"/>
        </w:rPr>
        <w:t>Postfach 10 06 02</w:t>
      </w:r>
      <w:r>
        <w:rPr>
          <w:szCs w:val="24"/>
          <w:lang w:val="de-DE"/>
        </w:rPr>
        <w:t xml:space="preserve">, </w:t>
      </w:r>
      <w:r w:rsidRPr="001639BE">
        <w:rPr>
          <w:szCs w:val="24"/>
          <w:lang w:val="de-DE"/>
        </w:rPr>
        <w:t>60006 Frankfurt am Main</w:t>
      </w:r>
      <w:r>
        <w:rPr>
          <w:szCs w:val="24"/>
          <w:lang w:val="de-DE"/>
        </w:rPr>
        <w:t xml:space="preserve">, </w:t>
      </w:r>
      <w:r w:rsidRPr="001639BE">
        <w:rPr>
          <w:szCs w:val="24"/>
          <w:lang w:val="de-DE"/>
        </w:rPr>
        <w:t>Germany</w:t>
      </w:r>
    </w:p>
    <w:p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E070EA">
        <w:rPr>
          <w:i/>
          <w:szCs w:val="24"/>
          <w:lang w:val="en-GB"/>
        </w:rPr>
        <w:t>s</w:t>
      </w:r>
      <w:r w:rsidRPr="000408BA">
        <w:rPr>
          <w:i/>
          <w:szCs w:val="24"/>
          <w:lang w:val="en-GB"/>
        </w:rPr>
        <w:t>:</w:t>
      </w:r>
      <w:r w:rsidR="008438AF">
        <w:rPr>
          <w:szCs w:val="24"/>
          <w:lang w:val="en-GB"/>
        </w:rPr>
        <w:t xml:space="preserve"> </w:t>
      </w:r>
    </w:p>
    <w:p w:rsidR="00BC6D26" w:rsidRDefault="00BC6D26" w:rsidP="00BC6D26">
      <w:pPr>
        <w:numPr>
          <w:ilvl w:val="0"/>
          <w:numId w:val="18"/>
        </w:numPr>
        <w:suppressLineNumbers/>
        <w:rPr>
          <w:szCs w:val="24"/>
          <w:lang w:val="es-MX"/>
        </w:rPr>
      </w:pPr>
      <w:r w:rsidRPr="001639BE">
        <w:rPr>
          <w:szCs w:val="24"/>
          <w:lang w:val="en-GB"/>
        </w:rPr>
        <w:t>European Central Bank</w:t>
      </w:r>
      <w:r w:rsidRPr="000F7BF9">
        <w:rPr>
          <w:szCs w:val="24"/>
          <w:lang w:val="es-MX"/>
        </w:rPr>
        <w:t xml:space="preserve"> </w:t>
      </w:r>
    </w:p>
    <w:p w:rsidR="00BC6D26" w:rsidRPr="000F7BF9" w:rsidRDefault="00BC6D26" w:rsidP="00BC6D26">
      <w:pPr>
        <w:suppressLineNumbers/>
        <w:ind w:firstLine="720"/>
        <w:rPr>
          <w:szCs w:val="24"/>
          <w:lang w:val="es-MX"/>
        </w:rPr>
      </w:pPr>
      <w:r w:rsidRPr="000F7BF9">
        <w:rPr>
          <w:szCs w:val="24"/>
          <w:lang w:val="es-MX"/>
        </w:rPr>
        <w:t>Josep Maria Puigvert Gutiérrez</w:t>
      </w:r>
    </w:p>
    <w:p w:rsidR="00BC6D26" w:rsidRPr="000F7BF9" w:rsidRDefault="00AA6C55" w:rsidP="00BC6D26">
      <w:pPr>
        <w:suppressLineNumbers/>
        <w:ind w:left="720"/>
        <w:rPr>
          <w:szCs w:val="24"/>
          <w:lang w:val="es-MX"/>
        </w:rPr>
      </w:pPr>
      <w:hyperlink r:id="rId9" w:history="1">
        <w:r w:rsidR="00BC6D26" w:rsidRPr="000F7BF9">
          <w:rPr>
            <w:rStyle w:val="Hyperlink"/>
            <w:szCs w:val="24"/>
            <w:lang w:val="es-MX"/>
          </w:rPr>
          <w:t>josep_maria.puigvert@ecb.europa.eu</w:t>
        </w:r>
      </w:hyperlink>
      <w:r w:rsidR="00BC6D26" w:rsidRPr="000F7BF9">
        <w:rPr>
          <w:szCs w:val="24"/>
          <w:lang w:val="es-MX"/>
        </w:rPr>
        <w:t xml:space="preserve"> </w:t>
      </w:r>
    </w:p>
    <w:p w:rsidR="00BC6D26" w:rsidRDefault="00BC6D26" w:rsidP="00BC6D26">
      <w:pPr>
        <w:suppressLineNumbers/>
        <w:ind w:firstLine="720"/>
        <w:rPr>
          <w:szCs w:val="24"/>
          <w:lang w:val="fr-FR"/>
        </w:rPr>
      </w:pPr>
      <w:r w:rsidRPr="000F7BF9">
        <w:rPr>
          <w:szCs w:val="24"/>
          <w:lang w:val="es-MX"/>
        </w:rPr>
        <w:t>Tel: +</w:t>
      </w:r>
      <w:r w:rsidRPr="000F7BF9">
        <w:rPr>
          <w:szCs w:val="24"/>
          <w:lang w:val="fr-FR"/>
        </w:rPr>
        <w:t>496913448660</w:t>
      </w:r>
    </w:p>
    <w:p w:rsidR="00E070EA" w:rsidRDefault="00E070EA" w:rsidP="00E070EA">
      <w:pPr>
        <w:numPr>
          <w:ilvl w:val="0"/>
          <w:numId w:val="18"/>
        </w:numPr>
        <w:suppressLineNumbers/>
        <w:rPr>
          <w:szCs w:val="24"/>
          <w:lang w:val="es-MX"/>
        </w:rPr>
      </w:pPr>
      <w:r w:rsidRPr="001639BE">
        <w:rPr>
          <w:szCs w:val="24"/>
          <w:lang w:val="en-GB"/>
        </w:rPr>
        <w:t>European Central Bank</w:t>
      </w:r>
      <w:r w:rsidRPr="000F7BF9">
        <w:rPr>
          <w:szCs w:val="24"/>
          <w:lang w:val="es-MX"/>
        </w:rPr>
        <w:t xml:space="preserve"> </w:t>
      </w:r>
    </w:p>
    <w:p w:rsidR="00E070EA" w:rsidRPr="000F7BF9" w:rsidRDefault="00E070EA" w:rsidP="00E070EA">
      <w:pPr>
        <w:suppressLineNumbers/>
        <w:ind w:left="720"/>
        <w:rPr>
          <w:szCs w:val="24"/>
          <w:lang w:val="fr-FR"/>
        </w:rPr>
      </w:pPr>
      <w:r w:rsidRPr="000F7BF9">
        <w:rPr>
          <w:szCs w:val="24"/>
          <w:lang w:val="fr-FR"/>
        </w:rPr>
        <w:t>Ronald Rühmkorf</w:t>
      </w:r>
    </w:p>
    <w:p w:rsidR="00E070EA" w:rsidRPr="000F7BF9" w:rsidRDefault="00AA6C55" w:rsidP="00E070EA">
      <w:pPr>
        <w:suppressLineNumbers/>
        <w:ind w:left="720"/>
        <w:rPr>
          <w:lang w:val="fr-FR"/>
        </w:rPr>
      </w:pPr>
      <w:hyperlink r:id="rId10" w:history="1">
        <w:r w:rsidR="00E070EA" w:rsidRPr="000F7BF9">
          <w:rPr>
            <w:rStyle w:val="Hyperlink"/>
            <w:lang w:val="fr-FR"/>
          </w:rPr>
          <w:t>ronald.ruehmkorf@ecb.</w:t>
        </w:r>
        <w:r w:rsidR="00E070EA" w:rsidRPr="005B076C">
          <w:rPr>
            <w:rStyle w:val="Hyperlink"/>
            <w:lang w:val="fr-FR"/>
          </w:rPr>
          <w:t>europa.eu</w:t>
        </w:r>
      </w:hyperlink>
    </w:p>
    <w:p w:rsidR="00AF2397" w:rsidRDefault="00E070EA" w:rsidP="00AF2397">
      <w:pPr>
        <w:suppressLineNumbers/>
        <w:ind w:left="720"/>
        <w:rPr>
          <w:szCs w:val="24"/>
          <w:lang w:val="fr-FR"/>
        </w:rPr>
      </w:pPr>
      <w:r w:rsidRPr="000F7BF9">
        <w:rPr>
          <w:szCs w:val="24"/>
          <w:lang w:val="es-MX"/>
        </w:rPr>
        <w:t>Tel: +</w:t>
      </w:r>
      <w:r w:rsidRPr="000F7BF9">
        <w:rPr>
          <w:szCs w:val="24"/>
          <w:lang w:val="fr-FR"/>
        </w:rPr>
        <w:t>496913448749</w:t>
      </w:r>
    </w:p>
    <w:p w:rsidR="004C05F2" w:rsidRDefault="004C05F2" w:rsidP="004C05F2">
      <w:pPr>
        <w:numPr>
          <w:ilvl w:val="0"/>
          <w:numId w:val="18"/>
        </w:numPr>
        <w:suppressLineNumbers/>
        <w:rPr>
          <w:szCs w:val="24"/>
          <w:lang w:val="es-MX"/>
        </w:rPr>
      </w:pPr>
      <w:r w:rsidRPr="001639BE">
        <w:rPr>
          <w:szCs w:val="24"/>
          <w:lang w:val="en-GB"/>
        </w:rPr>
        <w:t>European Central Bank</w:t>
      </w:r>
      <w:r w:rsidRPr="000F7BF9">
        <w:rPr>
          <w:szCs w:val="24"/>
          <w:lang w:val="es-MX"/>
        </w:rPr>
        <w:t xml:space="preserve"> </w:t>
      </w:r>
    </w:p>
    <w:p w:rsidR="004C05F2" w:rsidRDefault="004C05F2" w:rsidP="004C05F2">
      <w:pPr>
        <w:suppressLineNumbers/>
        <w:ind w:left="720"/>
        <w:rPr>
          <w:szCs w:val="24"/>
          <w:lang w:val="fr-FR"/>
        </w:rPr>
      </w:pPr>
      <w:r>
        <w:rPr>
          <w:szCs w:val="24"/>
          <w:lang w:val="fr-FR"/>
        </w:rPr>
        <w:t>Gemma Agostoni</w:t>
      </w:r>
    </w:p>
    <w:p w:rsidR="004C05F2" w:rsidRPr="004C05F2" w:rsidRDefault="00AA6C55" w:rsidP="004C05F2">
      <w:pPr>
        <w:suppressLineNumbers/>
        <w:ind w:left="720"/>
        <w:rPr>
          <w:rStyle w:val="Hyperlink"/>
          <w:lang w:val="fr-FR"/>
        </w:rPr>
      </w:pPr>
      <w:hyperlink r:id="rId11" w:history="1">
        <w:r w:rsidR="004C05F2" w:rsidRPr="004C05F2">
          <w:rPr>
            <w:rStyle w:val="Hyperlink"/>
            <w:lang w:val="fr-FR"/>
          </w:rPr>
          <w:t>gemma.agostoni@ecb.europa.eu</w:t>
        </w:r>
      </w:hyperlink>
    </w:p>
    <w:p w:rsidR="004C05F2" w:rsidRDefault="004C05F2" w:rsidP="004C05F2">
      <w:pPr>
        <w:suppressLineNumbers/>
        <w:ind w:left="720"/>
        <w:rPr>
          <w:szCs w:val="24"/>
          <w:lang w:val="fr-FR"/>
        </w:rPr>
      </w:pPr>
      <w:r w:rsidRPr="004C05F2">
        <w:rPr>
          <w:szCs w:val="24"/>
          <w:lang w:val="fr-FR"/>
        </w:rPr>
        <w:t>Tel: +</w:t>
      </w:r>
      <w:r w:rsidRPr="000F7BF9">
        <w:rPr>
          <w:szCs w:val="24"/>
          <w:lang w:val="fr-FR"/>
        </w:rPr>
        <w:t>49691344</w:t>
      </w:r>
      <w:r>
        <w:rPr>
          <w:szCs w:val="24"/>
          <w:lang w:val="fr-FR"/>
        </w:rPr>
        <w:t>5463</w:t>
      </w:r>
    </w:p>
    <w:p w:rsidR="00BC6D26" w:rsidRPr="004C05F2" w:rsidRDefault="00BC6D26" w:rsidP="008438AF">
      <w:pPr>
        <w:rPr>
          <w:szCs w:val="24"/>
          <w:lang w:val="fr-FR"/>
        </w:rPr>
      </w:pPr>
    </w:p>
    <w:p w:rsidR="00E070EA" w:rsidRDefault="008438AF" w:rsidP="008438AF">
      <w:pPr>
        <w:rPr>
          <w:szCs w:val="24"/>
          <w:lang w:val="en-GB"/>
        </w:rPr>
      </w:pPr>
      <w:r w:rsidRPr="004C05F2">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rsidR="00193248" w:rsidRDefault="00193248" w:rsidP="006D55C6">
      <w:pPr>
        <w:jc w:val="both"/>
        <w:rPr>
          <w:szCs w:val="24"/>
          <w:lang w:val="en-GB"/>
        </w:rPr>
      </w:pPr>
      <w:r>
        <w:rPr>
          <w:szCs w:val="24"/>
          <w:lang w:val="en-GB"/>
        </w:rPr>
        <w:t xml:space="preserve">The ECB and the Bank of England respectively for the Money Market Statistical Reporting (MMSR) and the </w:t>
      </w:r>
      <w:r w:rsidRPr="00BC6D26">
        <w:rPr>
          <w:szCs w:val="24"/>
          <w:lang w:val="en-GB"/>
        </w:rPr>
        <w:t>Ste</w:t>
      </w:r>
      <w:r>
        <w:rPr>
          <w:szCs w:val="24"/>
          <w:lang w:val="en-GB"/>
        </w:rPr>
        <w:t xml:space="preserve">rling Money Market Daily (SMMD) are using different versions of the ISO 20022 </w:t>
      </w:r>
      <w:proofErr w:type="spellStart"/>
      <w:r>
        <w:rPr>
          <w:szCs w:val="24"/>
          <w:lang w:val="en-GB"/>
        </w:rPr>
        <w:t>MoneyMarket</w:t>
      </w:r>
      <w:proofErr w:type="spellEnd"/>
      <w:r>
        <w:rPr>
          <w:szCs w:val="24"/>
          <w:lang w:val="en-GB"/>
        </w:rPr>
        <w:t xml:space="preserve"> reporting messages. The Authorities want to harmonise the usage and eliminate the different versions by combining the differences into common messages.</w:t>
      </w:r>
    </w:p>
    <w:p w:rsidR="00E070EA" w:rsidRDefault="00E070EA" w:rsidP="006D55C6">
      <w:pPr>
        <w:jc w:val="both"/>
        <w:rPr>
          <w:szCs w:val="24"/>
          <w:lang w:val="en-GB"/>
        </w:rPr>
      </w:pPr>
      <w:r>
        <w:rPr>
          <w:szCs w:val="24"/>
          <w:lang w:val="en-GB"/>
        </w:rPr>
        <w:t>All organisations and communities which are currently using the messages have been consulted and the submitted change requests constitute the agreement found between all involved organisations (</w:t>
      </w:r>
      <w:r w:rsidR="00F45126">
        <w:rPr>
          <w:szCs w:val="24"/>
          <w:lang w:val="en-GB"/>
        </w:rPr>
        <w:t xml:space="preserve">i.e. all organisations </w:t>
      </w:r>
      <w:r w:rsidR="00C90AFE">
        <w:rPr>
          <w:szCs w:val="24"/>
          <w:lang w:val="en-GB"/>
        </w:rPr>
        <w:t xml:space="preserve">and stakeholders </w:t>
      </w:r>
      <w:r w:rsidR="00F45126">
        <w:rPr>
          <w:szCs w:val="24"/>
          <w:lang w:val="en-GB"/>
        </w:rPr>
        <w:t>involved in the MMSR and the SMMD).</w:t>
      </w:r>
    </w:p>
    <w:p w:rsidR="00E070EA" w:rsidRPr="00BC6D26" w:rsidRDefault="00193248" w:rsidP="00E070EA">
      <w:pPr>
        <w:rPr>
          <w:szCs w:val="24"/>
          <w:lang w:val="en-GB"/>
        </w:rPr>
      </w:pPr>
      <w:r>
        <w:rPr>
          <w:szCs w:val="24"/>
          <w:lang w:val="en-GB"/>
        </w:rPr>
        <w:t>The</w:t>
      </w:r>
      <w:r w:rsidR="00E070EA" w:rsidRPr="00BC6D26">
        <w:rPr>
          <w:szCs w:val="24"/>
          <w:lang w:val="en-GB"/>
        </w:rPr>
        <w:t xml:space="preserve"> </w:t>
      </w:r>
      <w:r w:rsidR="00F45126">
        <w:rPr>
          <w:szCs w:val="24"/>
          <w:lang w:val="en-GB"/>
        </w:rPr>
        <w:t>sponsor is</w:t>
      </w:r>
      <w:r w:rsidR="00E070EA" w:rsidRPr="00BC6D26">
        <w:rPr>
          <w:szCs w:val="24"/>
          <w:lang w:val="en-GB"/>
        </w:rPr>
        <w:t>:</w:t>
      </w:r>
    </w:p>
    <w:p w:rsidR="00E070EA" w:rsidRPr="001639BE" w:rsidRDefault="00E070EA" w:rsidP="00E070EA">
      <w:pPr>
        <w:numPr>
          <w:ilvl w:val="0"/>
          <w:numId w:val="18"/>
        </w:numPr>
        <w:rPr>
          <w:szCs w:val="24"/>
          <w:lang w:val="en-GB"/>
        </w:rPr>
      </w:pPr>
      <w:r w:rsidRPr="001639BE">
        <w:rPr>
          <w:szCs w:val="24"/>
          <w:lang w:val="en-GB"/>
        </w:rPr>
        <w:t xml:space="preserve">Bank of England, </w:t>
      </w:r>
      <w:proofErr w:type="spellStart"/>
      <w:r w:rsidRPr="001639BE">
        <w:rPr>
          <w:szCs w:val="24"/>
          <w:lang w:val="en-GB"/>
        </w:rPr>
        <w:t>Threadneedle</w:t>
      </w:r>
      <w:proofErr w:type="spellEnd"/>
      <w:r w:rsidRPr="001639BE">
        <w:rPr>
          <w:szCs w:val="24"/>
          <w:lang w:val="en-GB"/>
        </w:rPr>
        <w:t xml:space="preserve"> St, London, EC2R 8AH</w:t>
      </w:r>
    </w:p>
    <w:p w:rsidR="00C90AFE" w:rsidRDefault="00C90AFE" w:rsidP="00C90AFE">
      <w:pPr>
        <w:rPr>
          <w:szCs w:val="24"/>
          <w:lang w:val="en-GB"/>
        </w:rPr>
      </w:pPr>
      <w:r>
        <w:rPr>
          <w:i/>
          <w:szCs w:val="24"/>
          <w:lang w:val="en-GB"/>
        </w:rPr>
        <w:t>C</w:t>
      </w:r>
      <w:r w:rsidRPr="000408BA">
        <w:rPr>
          <w:i/>
          <w:szCs w:val="24"/>
          <w:lang w:val="en-GB"/>
        </w:rPr>
        <w:t>ontact person:</w:t>
      </w:r>
      <w:r>
        <w:rPr>
          <w:szCs w:val="24"/>
          <w:lang w:val="en-GB"/>
        </w:rPr>
        <w:t xml:space="preserve"> </w:t>
      </w:r>
    </w:p>
    <w:p w:rsidR="00C90AFE" w:rsidRDefault="00C90AFE" w:rsidP="00C90AFE">
      <w:pPr>
        <w:suppressLineNumbers/>
        <w:ind w:left="720"/>
        <w:rPr>
          <w:szCs w:val="24"/>
          <w:lang w:val="en-GB"/>
        </w:rPr>
      </w:pPr>
      <w:r>
        <w:rPr>
          <w:szCs w:val="24"/>
          <w:lang w:val="en-GB"/>
        </w:rPr>
        <w:lastRenderedPageBreak/>
        <w:t>Rob Harris</w:t>
      </w:r>
    </w:p>
    <w:p w:rsidR="00C90AFE" w:rsidRPr="00BC6D26" w:rsidRDefault="00AA6C55" w:rsidP="00C90AFE">
      <w:pPr>
        <w:suppressLineNumbers/>
        <w:ind w:left="720"/>
        <w:rPr>
          <w:szCs w:val="24"/>
          <w:lang w:val="en-GB"/>
        </w:rPr>
      </w:pPr>
      <w:hyperlink r:id="rId12" w:history="1">
        <w:r w:rsidR="00C90AFE" w:rsidRPr="00B946F3">
          <w:rPr>
            <w:rStyle w:val="Hyperlink"/>
            <w:szCs w:val="24"/>
            <w:lang w:val="en-GB"/>
          </w:rPr>
          <w:t>rob.harris@bankofengland.gsi.gov.uk</w:t>
        </w:r>
      </w:hyperlink>
      <w:r w:rsidR="00C90AFE">
        <w:rPr>
          <w:szCs w:val="24"/>
          <w:lang w:val="en-GB"/>
        </w:rPr>
        <w:t xml:space="preserve"> </w:t>
      </w:r>
    </w:p>
    <w:p w:rsidR="00E070EA" w:rsidRDefault="00E070EA" w:rsidP="008438AF">
      <w:pPr>
        <w:rPr>
          <w:szCs w:val="24"/>
          <w:lang w:val="en-GB"/>
        </w:rPr>
      </w:pPr>
    </w:p>
    <w:p w:rsidR="00854FA6" w:rsidRDefault="00854FA6" w:rsidP="00854FA6">
      <w:pPr>
        <w:numPr>
          <w:ilvl w:val="0"/>
          <w:numId w:val="6"/>
        </w:numPr>
        <w:rPr>
          <w:b/>
          <w:lang w:val="en-GB"/>
        </w:rPr>
      </w:pPr>
      <w:r>
        <w:rPr>
          <w:b/>
          <w:lang w:val="en-GB"/>
        </w:rPr>
        <w:t>Related m</w:t>
      </w:r>
      <w:r w:rsidRPr="00451986">
        <w:rPr>
          <w:b/>
          <w:lang w:val="en-GB"/>
        </w:rPr>
        <w:t>essages:</w:t>
      </w:r>
    </w:p>
    <w:p w:rsidR="001F4B75" w:rsidRDefault="001F4B75" w:rsidP="006D55C6">
      <w:pPr>
        <w:jc w:val="both"/>
        <w:rPr>
          <w:lang w:val="en-GB"/>
        </w:rPr>
      </w:pPr>
      <w:r>
        <w:rPr>
          <w:lang w:val="en-GB"/>
        </w:rPr>
        <w:t xml:space="preserve">The related messages belong to the </w:t>
      </w:r>
      <w:r w:rsidRPr="00443265">
        <w:rPr>
          <w:lang w:val="en-GB"/>
        </w:rPr>
        <w:t>ISO 20022 securities message</w:t>
      </w:r>
      <w:r>
        <w:rPr>
          <w:lang w:val="en-GB"/>
        </w:rPr>
        <w:t>s, Money Market Sta</w:t>
      </w:r>
      <w:r w:rsidR="005F23A9">
        <w:rPr>
          <w:lang w:val="en-GB"/>
        </w:rPr>
        <w:t>ti</w:t>
      </w:r>
      <w:r>
        <w:rPr>
          <w:lang w:val="en-GB"/>
        </w:rPr>
        <w:t>stical Reporting. The list of ISO 20022 messages which would be impacted by the change are:</w:t>
      </w:r>
    </w:p>
    <w:p w:rsidR="001F4B75" w:rsidRDefault="001F4B75" w:rsidP="001F4B75">
      <w:pPr>
        <w:pStyle w:val="NormalWeb"/>
        <w:ind w:left="360"/>
        <w:rPr>
          <w:rFonts w:ascii="Arial" w:hAnsi="Arial" w:cs="Arial"/>
          <w:color w:val="3D3D3D"/>
          <w:sz w:val="20"/>
          <w:szCs w:val="20"/>
        </w:rPr>
      </w:pPr>
    </w:p>
    <w:tbl>
      <w:tblPr>
        <w:tblW w:w="3800" w:type="pct"/>
        <w:tblCellMar>
          <w:top w:w="15" w:type="dxa"/>
          <w:left w:w="15" w:type="dxa"/>
          <w:bottom w:w="15" w:type="dxa"/>
          <w:right w:w="15" w:type="dxa"/>
        </w:tblCellMar>
        <w:tblLook w:val="04A0" w:firstRow="1" w:lastRow="0" w:firstColumn="1" w:lastColumn="0" w:noHBand="0" w:noVBand="1"/>
      </w:tblPr>
      <w:tblGrid>
        <w:gridCol w:w="5342"/>
        <w:gridCol w:w="1596"/>
      </w:tblGrid>
      <w:tr w:rsidR="001F4B75" w:rsidTr="008C293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vAlign w:val="center"/>
            <w:hideMark/>
          </w:tcPr>
          <w:p w:rsidR="001F4B75" w:rsidRDefault="001F4B75" w:rsidP="008C293C">
            <w:pPr>
              <w:rPr>
                <w:rFonts w:ascii="Arial" w:hAnsi="Arial" w:cs="Arial"/>
                <w:b/>
                <w:bCs/>
                <w:color w:val="3D3D3D"/>
                <w:sz w:val="20"/>
              </w:rPr>
            </w:pPr>
            <w:r>
              <w:rPr>
                <w:rFonts w:ascii="Arial" w:hAnsi="Arial" w:cs="Arial"/>
                <w:b/>
                <w:bCs/>
                <w:color w:val="3D3D3D"/>
                <w:sz w:val="20"/>
              </w:rPr>
              <w:t>Message Name</w:t>
            </w:r>
          </w:p>
        </w:t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vAlign w:val="center"/>
            <w:hideMark/>
          </w:tcPr>
          <w:p w:rsidR="001F4B75" w:rsidRDefault="001F4B75" w:rsidP="008C293C">
            <w:pPr>
              <w:rPr>
                <w:rFonts w:ascii="Arial" w:hAnsi="Arial" w:cs="Arial"/>
                <w:b/>
                <w:bCs/>
                <w:color w:val="3D3D3D"/>
                <w:sz w:val="20"/>
              </w:rPr>
            </w:pPr>
            <w:proofErr w:type="spellStart"/>
            <w:r>
              <w:rPr>
                <w:rFonts w:ascii="Arial" w:hAnsi="Arial" w:cs="Arial"/>
                <w:b/>
                <w:bCs/>
                <w:color w:val="3D3D3D"/>
                <w:sz w:val="20"/>
              </w:rPr>
              <w:t>Msg</w:t>
            </w:r>
            <w:proofErr w:type="spellEnd"/>
            <w:r>
              <w:rPr>
                <w:rFonts w:ascii="Arial" w:hAnsi="Arial" w:cs="Arial"/>
                <w:b/>
                <w:bCs/>
                <w:color w:val="3D3D3D"/>
                <w:sz w:val="20"/>
              </w:rPr>
              <w:t xml:space="preserve"> ID (Schema)</w:t>
            </w:r>
          </w:p>
        </w:tc>
      </w:tr>
      <w:tr w:rsidR="001F4B75" w:rsidTr="008C293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1F4B75" w:rsidP="008C293C">
            <w:pPr>
              <w:rPr>
                <w:rFonts w:ascii="Arial" w:hAnsi="Arial" w:cs="Arial"/>
                <w:color w:val="3D3D3D"/>
                <w:sz w:val="20"/>
              </w:rPr>
            </w:pPr>
            <w:r>
              <w:rPr>
                <w:rFonts w:ascii="Arial" w:hAnsi="Arial" w:cs="Arial"/>
                <w:color w:val="3D3D3D"/>
                <w:sz w:val="20"/>
              </w:rPr>
              <w:t>MoneyMarketSecuredMarketStatisticalReportV01</w:t>
            </w:r>
          </w:p>
        </w:t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AA6C55" w:rsidP="008C293C">
            <w:pPr>
              <w:rPr>
                <w:rFonts w:ascii="Arial" w:hAnsi="Arial" w:cs="Arial"/>
                <w:color w:val="3D3D3D"/>
                <w:sz w:val="20"/>
              </w:rPr>
            </w:pPr>
            <w:hyperlink r:id="rId13" w:history="1">
              <w:r w:rsidR="001F4B75">
                <w:rPr>
                  <w:rStyle w:val="Hyperlink"/>
                  <w:rFonts w:ascii="Arial" w:hAnsi="Arial" w:cs="Arial"/>
                  <w:sz w:val="20"/>
                </w:rPr>
                <w:t>auth.012.001.01</w:t>
              </w:r>
            </w:hyperlink>
          </w:p>
        </w:tc>
      </w:tr>
      <w:tr w:rsidR="001F4B75" w:rsidTr="008C293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1F4B75" w:rsidP="008C293C">
            <w:pPr>
              <w:rPr>
                <w:rFonts w:ascii="Arial" w:hAnsi="Arial" w:cs="Arial"/>
                <w:color w:val="3D3D3D"/>
                <w:sz w:val="20"/>
              </w:rPr>
            </w:pPr>
            <w:r>
              <w:rPr>
                <w:rFonts w:ascii="Arial" w:hAnsi="Arial" w:cs="Arial"/>
                <w:color w:val="3D3D3D"/>
                <w:sz w:val="20"/>
              </w:rPr>
              <w:t>MoneyMarketUnsecuredMarketStatisticalReportV01 </w:t>
            </w:r>
          </w:p>
        </w:t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AA6C55" w:rsidP="008C293C">
            <w:pPr>
              <w:rPr>
                <w:rFonts w:ascii="Arial" w:hAnsi="Arial" w:cs="Arial"/>
                <w:color w:val="3D3D3D"/>
                <w:sz w:val="20"/>
              </w:rPr>
            </w:pPr>
            <w:hyperlink r:id="rId14" w:history="1">
              <w:r w:rsidR="001F4B75">
                <w:rPr>
                  <w:rStyle w:val="Hyperlink"/>
                  <w:rFonts w:ascii="Arial" w:hAnsi="Arial" w:cs="Arial"/>
                  <w:sz w:val="20"/>
                </w:rPr>
                <w:t>auth.013.001.01</w:t>
              </w:r>
            </w:hyperlink>
          </w:p>
        </w:tc>
      </w:tr>
      <w:tr w:rsidR="001F4B75" w:rsidTr="008C293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1F4B75" w:rsidP="008C293C">
            <w:pPr>
              <w:rPr>
                <w:rFonts w:ascii="Arial" w:hAnsi="Arial" w:cs="Arial"/>
                <w:color w:val="3D3D3D"/>
                <w:sz w:val="20"/>
              </w:rPr>
            </w:pPr>
            <w:r>
              <w:rPr>
                <w:rFonts w:ascii="Arial" w:hAnsi="Arial" w:cs="Arial"/>
                <w:color w:val="3D3D3D"/>
                <w:sz w:val="20"/>
              </w:rPr>
              <w:t>MoneyMarketForeignExchangeSwapsStatisticalReportV01</w:t>
            </w:r>
          </w:p>
        </w:t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AA6C55" w:rsidP="008C293C">
            <w:pPr>
              <w:rPr>
                <w:rFonts w:ascii="Arial" w:hAnsi="Arial" w:cs="Arial"/>
                <w:color w:val="3D3D3D"/>
                <w:sz w:val="20"/>
              </w:rPr>
            </w:pPr>
            <w:hyperlink r:id="rId15" w:history="1">
              <w:r w:rsidR="001F4B75">
                <w:rPr>
                  <w:rStyle w:val="Hyperlink"/>
                  <w:rFonts w:ascii="Arial" w:hAnsi="Arial" w:cs="Arial"/>
                  <w:sz w:val="20"/>
                </w:rPr>
                <w:t>auth.014.001.01</w:t>
              </w:r>
            </w:hyperlink>
          </w:p>
        </w:tc>
      </w:tr>
      <w:tr w:rsidR="001F4B75" w:rsidTr="008C293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1F4B75" w:rsidP="008C293C">
            <w:pPr>
              <w:rPr>
                <w:rFonts w:ascii="Arial" w:hAnsi="Arial" w:cs="Arial"/>
                <w:color w:val="3D3D3D"/>
                <w:sz w:val="20"/>
              </w:rPr>
            </w:pPr>
            <w:r>
              <w:rPr>
                <w:rFonts w:ascii="Arial" w:hAnsi="Arial" w:cs="Arial"/>
                <w:color w:val="3D3D3D"/>
                <w:sz w:val="20"/>
              </w:rPr>
              <w:t>MoneyMarketOvernightIndexSwapsStatisticalReportV01</w:t>
            </w:r>
          </w:p>
        </w:tc>
        <w:tc>
          <w:tcPr>
            <w:tcW w:w="0" w:type="auto"/>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AA6C55" w:rsidP="008C293C">
            <w:pPr>
              <w:rPr>
                <w:rFonts w:ascii="Arial" w:hAnsi="Arial" w:cs="Arial"/>
                <w:color w:val="3D3D3D"/>
                <w:sz w:val="20"/>
              </w:rPr>
            </w:pPr>
            <w:hyperlink r:id="rId16" w:history="1">
              <w:r w:rsidR="001F4B75">
                <w:rPr>
                  <w:rStyle w:val="Hyperlink"/>
                  <w:rFonts w:ascii="Arial" w:hAnsi="Arial" w:cs="Arial"/>
                  <w:sz w:val="20"/>
                </w:rPr>
                <w:t>auth.015.001.01</w:t>
              </w:r>
            </w:hyperlink>
          </w:p>
        </w:tc>
      </w:tr>
    </w:tbl>
    <w:p w:rsidR="001F4B75" w:rsidRDefault="001F4B75" w:rsidP="001F4B75">
      <w:pPr>
        <w:ind w:left="360"/>
        <w:rPr>
          <w:lang w:val="en-GB"/>
        </w:rPr>
      </w:pPr>
    </w:p>
    <w:p w:rsidR="00193248" w:rsidRDefault="001F4B75" w:rsidP="006D55C6">
      <w:pPr>
        <w:jc w:val="both"/>
        <w:rPr>
          <w:lang w:val="en-GB"/>
        </w:rPr>
      </w:pPr>
      <w:r>
        <w:rPr>
          <w:lang w:val="en-GB"/>
        </w:rPr>
        <w:t>The proposed changes are expected to not</w:t>
      </w:r>
      <w:r w:rsidR="00AB7E57">
        <w:rPr>
          <w:lang w:val="en-GB"/>
        </w:rPr>
        <w:t xml:space="preserve"> to</w:t>
      </w:r>
      <w:r>
        <w:rPr>
          <w:lang w:val="en-GB"/>
        </w:rPr>
        <w:t xml:space="preserve"> have an impact on other messages than the ones listed above. </w:t>
      </w:r>
    </w:p>
    <w:p w:rsidR="001F4B75" w:rsidRDefault="001F4B75" w:rsidP="006D55C6">
      <w:pPr>
        <w:jc w:val="both"/>
        <w:rPr>
          <w:lang w:val="en-GB"/>
        </w:rPr>
      </w:pPr>
      <w:r>
        <w:rPr>
          <w:lang w:val="en-GB"/>
        </w:rPr>
        <w:t>Moreover, the change request does not impact the following message that was part of the original message set at the time of submission</w:t>
      </w:r>
      <w:r w:rsidR="00AB7E57">
        <w:rPr>
          <w:lang w:val="en-GB"/>
        </w:rPr>
        <w:t>:</w:t>
      </w:r>
    </w:p>
    <w:p w:rsidR="001F4B75" w:rsidRDefault="001F4B75" w:rsidP="001F4B75">
      <w:pPr>
        <w:ind w:left="360"/>
        <w:rPr>
          <w:lang w:val="en-GB"/>
        </w:rPr>
      </w:pPr>
    </w:p>
    <w:tbl>
      <w:tblPr>
        <w:tblW w:w="3800" w:type="pct"/>
        <w:tblCellMar>
          <w:top w:w="15" w:type="dxa"/>
          <w:left w:w="15" w:type="dxa"/>
          <w:bottom w:w="15" w:type="dxa"/>
          <w:right w:w="15" w:type="dxa"/>
        </w:tblCellMar>
        <w:tblLook w:val="04A0" w:firstRow="1" w:lastRow="0" w:firstColumn="1" w:lastColumn="0" w:noHBand="0" w:noVBand="1"/>
      </w:tblPr>
      <w:tblGrid>
        <w:gridCol w:w="5321"/>
        <w:gridCol w:w="1616"/>
      </w:tblGrid>
      <w:tr w:rsidR="001F4B75" w:rsidTr="008C293C">
        <w:tc>
          <w:tcPr>
            <w:tcW w:w="3835" w:type="pct"/>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1F4B75" w:rsidP="008C293C">
            <w:pPr>
              <w:rPr>
                <w:rFonts w:ascii="Arial" w:hAnsi="Arial" w:cs="Arial"/>
                <w:color w:val="3D3D3D"/>
                <w:sz w:val="20"/>
              </w:rPr>
            </w:pPr>
            <w:r>
              <w:rPr>
                <w:rFonts w:ascii="Arial" w:hAnsi="Arial" w:cs="Arial"/>
                <w:color w:val="3D3D3D"/>
                <w:sz w:val="20"/>
              </w:rPr>
              <w:t>MoneyMarketStatisticalReportStatusAdviceV01 </w:t>
            </w:r>
          </w:p>
        </w:tc>
        <w:tc>
          <w:tcPr>
            <w:tcW w:w="1165" w:type="pct"/>
            <w:tcBorders>
              <w:top w:val="single" w:sz="6" w:space="0" w:color="6594BD"/>
              <w:left w:val="single" w:sz="6" w:space="0" w:color="6594BD"/>
              <w:bottom w:val="single" w:sz="6" w:space="0" w:color="6594BD"/>
              <w:right w:val="single" w:sz="6" w:space="0" w:color="6594BD"/>
            </w:tcBorders>
            <w:tcMar>
              <w:top w:w="45" w:type="dxa"/>
              <w:left w:w="75" w:type="dxa"/>
              <w:bottom w:w="45" w:type="dxa"/>
              <w:right w:w="75" w:type="dxa"/>
            </w:tcMar>
            <w:hideMark/>
          </w:tcPr>
          <w:p w:rsidR="001F4B75" w:rsidRDefault="00AA6C55" w:rsidP="008C293C">
            <w:pPr>
              <w:rPr>
                <w:rFonts w:ascii="Arial" w:hAnsi="Arial" w:cs="Arial"/>
                <w:color w:val="3D3D3D"/>
                <w:sz w:val="20"/>
              </w:rPr>
            </w:pPr>
            <w:hyperlink r:id="rId17" w:history="1">
              <w:r w:rsidR="001F4B75">
                <w:rPr>
                  <w:rStyle w:val="Hyperlink"/>
                  <w:rFonts w:ascii="Arial" w:hAnsi="Arial" w:cs="Arial"/>
                  <w:sz w:val="20"/>
                </w:rPr>
                <w:t>auth.028.001.01</w:t>
              </w:r>
            </w:hyperlink>
          </w:p>
        </w:tc>
      </w:tr>
    </w:tbl>
    <w:p w:rsidR="00AF2397" w:rsidRDefault="00AF2397" w:rsidP="00AF2397">
      <w:pPr>
        <w:rPr>
          <w:lang w:val="en-GB"/>
        </w:rPr>
      </w:pPr>
    </w:p>
    <w:p w:rsidR="00854FA6" w:rsidRPr="00193248" w:rsidRDefault="006D4A37" w:rsidP="00854FA6">
      <w:pPr>
        <w:numPr>
          <w:ilvl w:val="0"/>
          <w:numId w:val="6"/>
        </w:numPr>
        <w:rPr>
          <w:b/>
          <w:lang w:val="en-GB"/>
        </w:rPr>
      </w:pPr>
      <w:r>
        <w:rPr>
          <w:b/>
          <w:lang w:val="en-GB"/>
        </w:rPr>
        <w:t>Description of the change request:</w:t>
      </w:r>
    </w:p>
    <w:p w:rsidR="00193248" w:rsidRDefault="00193248" w:rsidP="00193248">
      <w:pPr>
        <w:rPr>
          <w:lang w:val="en-GB"/>
        </w:rPr>
      </w:pPr>
    </w:p>
    <w:p w:rsidR="00523836" w:rsidRDefault="00523836" w:rsidP="006D55C6">
      <w:pPr>
        <w:numPr>
          <w:ilvl w:val="0"/>
          <w:numId w:val="19"/>
        </w:numPr>
        <w:jc w:val="both"/>
      </w:pPr>
      <w:r w:rsidRPr="00523836">
        <w:t>Introduction of the new code ‘NORA’ (No Report from Reporting Agent) to the list of codes included unde</w:t>
      </w:r>
      <w:r>
        <w:t>r ‘</w:t>
      </w:r>
      <w:proofErr w:type="spellStart"/>
      <w:r>
        <w:t>DataSetAction</w:t>
      </w:r>
      <w:proofErr w:type="spellEnd"/>
      <w:r>
        <w:t>’</w:t>
      </w:r>
      <w:r w:rsidRPr="00523836">
        <w:t xml:space="preserve">. </w:t>
      </w:r>
      <w:r>
        <w:t xml:space="preserve">It is requested to introduce this change to </w:t>
      </w:r>
      <w:r w:rsidR="007E4BDD">
        <w:t xml:space="preserve">all </w:t>
      </w:r>
      <w:r>
        <w:t xml:space="preserve">related messages listed in Section B. </w:t>
      </w:r>
    </w:p>
    <w:p w:rsidR="007E4BDD" w:rsidRDefault="007E4BDD" w:rsidP="006D55C6">
      <w:pPr>
        <w:numPr>
          <w:ilvl w:val="0"/>
          <w:numId w:val="19"/>
        </w:numPr>
        <w:jc w:val="both"/>
      </w:pPr>
      <w:r>
        <w:t>T</w:t>
      </w:r>
      <w:r w:rsidR="00523836">
        <w:t>he multiplicity of the element ‘Sign’ (which is part of the ‘Deal Rate’ and ‘</w:t>
      </w:r>
      <w:proofErr w:type="spellStart"/>
      <w:r w:rsidR="00523836">
        <w:t>FixedInterestRate</w:t>
      </w:r>
      <w:proofErr w:type="spellEnd"/>
      <w:r w:rsidR="00523836">
        <w:t xml:space="preserve">’) to be changed from </w:t>
      </w:r>
      <w:r>
        <w:t xml:space="preserve">optional ‘[0..1]’ </w:t>
      </w:r>
      <w:r w:rsidR="00523836">
        <w:t xml:space="preserve">to </w:t>
      </w:r>
      <w:r>
        <w:t xml:space="preserve">mandatory ‘[1..1]’ in </w:t>
      </w:r>
    </w:p>
    <w:p w:rsidR="007E4BDD" w:rsidRPr="007E4BDD" w:rsidRDefault="007E4BDD" w:rsidP="006D55C6">
      <w:pPr>
        <w:numPr>
          <w:ilvl w:val="1"/>
          <w:numId w:val="19"/>
        </w:numPr>
        <w:jc w:val="both"/>
      </w:pPr>
      <w:r w:rsidRPr="007E4BDD">
        <w:rPr>
          <w:lang w:val="en-GB"/>
        </w:rPr>
        <w:t>MoneyMarketSecuredMarketStatisticalReportV0</w:t>
      </w:r>
      <w:r>
        <w:rPr>
          <w:lang w:val="en-GB"/>
        </w:rPr>
        <w:t>1,</w:t>
      </w:r>
    </w:p>
    <w:p w:rsidR="007E4BDD" w:rsidRPr="007E4BDD" w:rsidRDefault="007E4BDD" w:rsidP="006D55C6">
      <w:pPr>
        <w:numPr>
          <w:ilvl w:val="1"/>
          <w:numId w:val="19"/>
        </w:numPr>
        <w:jc w:val="both"/>
      </w:pPr>
      <w:r w:rsidRPr="007E4BDD">
        <w:rPr>
          <w:lang w:val="en-GB"/>
        </w:rPr>
        <w:t>MoneyMarketUnsecuredMarketStatisticalReportV01</w:t>
      </w:r>
      <w:r>
        <w:rPr>
          <w:lang w:val="en-GB"/>
        </w:rPr>
        <w:t xml:space="preserve">, </w:t>
      </w:r>
    </w:p>
    <w:p w:rsidR="007E4BDD" w:rsidRDefault="007E4BDD" w:rsidP="006D55C6">
      <w:pPr>
        <w:numPr>
          <w:ilvl w:val="1"/>
          <w:numId w:val="19"/>
        </w:numPr>
        <w:jc w:val="both"/>
      </w:pPr>
      <w:r w:rsidRPr="007E4BDD">
        <w:rPr>
          <w:lang w:val="en-GB"/>
        </w:rPr>
        <w:t>MoneyMarketOvernightIndexSwapsStatisticalReportV01.</w:t>
      </w:r>
      <w:r w:rsidR="00523836">
        <w:t xml:space="preserve"> </w:t>
      </w:r>
    </w:p>
    <w:p w:rsidR="00523836" w:rsidRDefault="00523836" w:rsidP="006D55C6">
      <w:pPr>
        <w:ind w:left="360"/>
        <w:jc w:val="both"/>
      </w:pPr>
      <w:r>
        <w:t>Moreover, the ‘</w:t>
      </w:r>
      <w:proofErr w:type="spellStart"/>
      <w:r>
        <w:t>SignRule</w:t>
      </w:r>
      <w:proofErr w:type="spellEnd"/>
      <w:r>
        <w:t xml:space="preserve">’ </w:t>
      </w:r>
      <w:r w:rsidR="00053195">
        <w:t xml:space="preserve">is </w:t>
      </w:r>
      <w:r>
        <w:t>to</w:t>
      </w:r>
      <w:r w:rsidR="007E4BDD">
        <w:t xml:space="preserve"> be eliminated from those </w:t>
      </w:r>
      <w:r>
        <w:t>message</w:t>
      </w:r>
      <w:r w:rsidR="007E4BDD">
        <w:t>s</w:t>
      </w:r>
      <w:r w:rsidR="000B0DA8">
        <w:t xml:space="preserve"> since it is only relevant for the case that the ‘Sign’ is an optional element.</w:t>
      </w:r>
    </w:p>
    <w:p w:rsidR="000B0DA8" w:rsidRDefault="000B0DA8" w:rsidP="006D55C6">
      <w:pPr>
        <w:numPr>
          <w:ilvl w:val="0"/>
          <w:numId w:val="19"/>
        </w:numPr>
        <w:jc w:val="both"/>
      </w:pPr>
      <w:r>
        <w:t xml:space="preserve">Introduction of a new (dummy) variable called ‘Novation’. The dummy variable is proposed to have two possible values as described in the table below. In particular, this </w:t>
      </w:r>
      <w:r>
        <w:lastRenderedPageBreak/>
        <w:t>new optional element is requested to be introduced in all related messages at the first level of the transactions &lt;</w:t>
      </w:r>
      <w:proofErr w:type="spellStart"/>
      <w:proofErr w:type="gramStart"/>
      <w:r>
        <w:t>Tx</w:t>
      </w:r>
      <w:proofErr w:type="spellEnd"/>
      <w:proofErr w:type="gramEnd"/>
      <w:r>
        <w:t xml:space="preserve">&gt; (as described in the table below). </w:t>
      </w:r>
    </w:p>
    <w:p w:rsidR="000B0DA8" w:rsidRDefault="000B0DA8" w:rsidP="006D55C6">
      <w:pPr>
        <w:ind w:left="360"/>
        <w:jc w:val="both"/>
      </w:pPr>
      <w:r>
        <w:t>Furthermore, an additional optional element ‘</w:t>
      </w:r>
      <w:proofErr w:type="spellStart"/>
      <w:r>
        <w:t>LinkedPrtryTxId</w:t>
      </w:r>
      <w:proofErr w:type="spellEnd"/>
      <w:r>
        <w:t xml:space="preserve">’ is requested to be added to indicate the PTI of the transaction which is novated. </w:t>
      </w:r>
    </w:p>
    <w:tbl>
      <w:tblPr>
        <w:tblpPr w:leftFromText="180" w:rightFromText="180" w:vertAnchor="text" w:horzAnchor="margin" w:tblpXSpec="center" w:tblpY="222"/>
        <w:tblW w:w="0" w:type="auto"/>
        <w:tblCellMar>
          <w:left w:w="0" w:type="dxa"/>
          <w:right w:w="0" w:type="dxa"/>
        </w:tblCellMar>
        <w:tblLook w:val="04A0" w:firstRow="1" w:lastRow="0" w:firstColumn="1" w:lastColumn="0" w:noHBand="0" w:noVBand="1"/>
      </w:tblPr>
      <w:tblGrid>
        <w:gridCol w:w="642"/>
        <w:gridCol w:w="5264"/>
        <w:gridCol w:w="961"/>
        <w:gridCol w:w="1228"/>
      </w:tblGrid>
      <w:tr w:rsidR="000B0DA8" w:rsidRPr="000B0DA8" w:rsidTr="000B0DA8">
        <w:trPr>
          <w:trHeight w:val="315"/>
        </w:trPr>
        <w:tc>
          <w:tcPr>
            <w:tcW w:w="6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b/>
                <w:bCs/>
                <w:sz w:val="22"/>
                <w:szCs w:val="22"/>
                <w:lang w:val="en-GB"/>
              </w:rPr>
            </w:pPr>
            <w:r w:rsidRPr="000B0DA8">
              <w:rPr>
                <w:rFonts w:ascii="Calibri" w:eastAsia="Calibri" w:hAnsi="Calibri"/>
                <w:b/>
                <w:bCs/>
                <w:sz w:val="22"/>
                <w:szCs w:val="22"/>
                <w:lang w:val="en-GB"/>
              </w:rPr>
              <w:t>Or    </w:t>
            </w:r>
          </w:p>
        </w:tc>
        <w:tc>
          <w:tcPr>
            <w:tcW w:w="52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b/>
                <w:bCs/>
                <w:sz w:val="22"/>
                <w:szCs w:val="22"/>
                <w:lang w:val="en-GB"/>
              </w:rPr>
            </w:pPr>
            <w:proofErr w:type="spellStart"/>
            <w:r w:rsidRPr="000B0DA8">
              <w:rPr>
                <w:rFonts w:ascii="Calibri" w:eastAsia="Calibri" w:hAnsi="Calibri"/>
                <w:b/>
                <w:bCs/>
                <w:sz w:val="22"/>
                <w:szCs w:val="22"/>
                <w:lang w:val="en-GB"/>
              </w:rPr>
              <w:t>MessageElement</w:t>
            </w:r>
            <w:proofErr w:type="spellEnd"/>
            <w:r w:rsidRPr="000B0DA8">
              <w:rPr>
                <w:rFonts w:ascii="Calibri" w:eastAsia="Calibri" w:hAnsi="Calibri"/>
                <w:b/>
                <w:bCs/>
                <w:sz w:val="22"/>
                <w:szCs w:val="22"/>
                <w:lang w:val="en-GB"/>
              </w:rPr>
              <w:t xml:space="preserve"> &lt;XML Tag&gt;</w:t>
            </w:r>
          </w:p>
        </w:tc>
        <w:tc>
          <w:tcPr>
            <w:tcW w:w="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b/>
                <w:bCs/>
                <w:sz w:val="22"/>
                <w:szCs w:val="22"/>
                <w:lang w:val="en-GB"/>
              </w:rPr>
            </w:pPr>
            <w:proofErr w:type="spellStart"/>
            <w:r w:rsidRPr="000B0DA8">
              <w:rPr>
                <w:rFonts w:ascii="Calibri" w:eastAsia="Calibri" w:hAnsi="Calibri"/>
                <w:b/>
                <w:bCs/>
                <w:sz w:val="22"/>
                <w:szCs w:val="22"/>
                <w:lang w:val="en-GB"/>
              </w:rPr>
              <w:t>Mult</w:t>
            </w:r>
            <w:proofErr w:type="spellEnd"/>
            <w:r w:rsidRPr="000B0DA8">
              <w:rPr>
                <w:rFonts w:ascii="Calibri" w:eastAsia="Calibri" w:hAnsi="Calibri"/>
                <w:b/>
                <w:bCs/>
                <w:sz w:val="22"/>
                <w:szCs w:val="22"/>
                <w:lang w:val="en-GB"/>
              </w:rPr>
              <w:t>.</w:t>
            </w:r>
          </w:p>
        </w:tc>
        <w:tc>
          <w:tcPr>
            <w:tcW w:w="12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b/>
                <w:bCs/>
                <w:sz w:val="22"/>
                <w:szCs w:val="22"/>
                <w:lang w:val="en-GB"/>
              </w:rPr>
            </w:pPr>
            <w:r w:rsidRPr="000B0DA8">
              <w:rPr>
                <w:rFonts w:ascii="Calibri" w:eastAsia="Calibri" w:hAnsi="Calibri"/>
                <w:b/>
                <w:bCs/>
                <w:sz w:val="22"/>
                <w:szCs w:val="22"/>
                <w:lang w:val="en-GB"/>
              </w:rPr>
              <w:t>Type</w:t>
            </w:r>
          </w:p>
        </w:tc>
      </w:tr>
      <w:tr w:rsidR="000B0DA8" w:rsidRPr="000B0DA8" w:rsidTr="000B0DA8">
        <w:trPr>
          <w:trHeight w:val="315"/>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{Or</w:t>
            </w:r>
          </w:p>
        </w:tc>
        <w:tc>
          <w:tcPr>
            <w:tcW w:w="5264"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proofErr w:type="spellStart"/>
            <w:r w:rsidRPr="000B0DA8">
              <w:rPr>
                <w:rFonts w:ascii="Calibri" w:eastAsia="Calibri" w:hAnsi="Calibri"/>
                <w:sz w:val="22"/>
                <w:szCs w:val="22"/>
                <w:lang w:val="en-GB"/>
              </w:rPr>
              <w:t>DataSetAction</w:t>
            </w:r>
            <w:proofErr w:type="spellEnd"/>
            <w:r w:rsidRPr="000B0DA8">
              <w:rPr>
                <w:rFonts w:ascii="Calibri" w:eastAsia="Calibri" w:hAnsi="Calibri"/>
                <w:sz w:val="22"/>
                <w:szCs w:val="22"/>
                <w:lang w:val="en-GB"/>
              </w:rPr>
              <w:t xml:space="preserve"> &lt;</w:t>
            </w:r>
            <w:proofErr w:type="spellStart"/>
            <w:r w:rsidRPr="000B0DA8">
              <w:rPr>
                <w:rFonts w:ascii="Calibri" w:eastAsia="Calibri" w:hAnsi="Calibri"/>
                <w:sz w:val="22"/>
                <w:szCs w:val="22"/>
                <w:lang w:val="en-GB"/>
              </w:rPr>
              <w:t>DataSetActn</w:t>
            </w:r>
            <w:proofErr w:type="spellEnd"/>
            <w:r w:rsidRPr="000B0DA8">
              <w:rPr>
                <w:rFonts w:ascii="Calibri" w:eastAsia="Calibri" w:hAnsi="Calibri"/>
                <w:sz w:val="22"/>
                <w:szCs w:val="22"/>
                <w:lang w:val="en-GB"/>
              </w:rPr>
              <w:t>&gt;</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[1..1]</w:t>
            </w:r>
          </w:p>
        </w:tc>
        <w:tc>
          <w:tcPr>
            <w:tcW w:w="1228"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proofErr w:type="spellStart"/>
            <w:r w:rsidRPr="000B0DA8">
              <w:rPr>
                <w:rFonts w:ascii="Calibri" w:eastAsia="Calibri" w:hAnsi="Calibri"/>
                <w:sz w:val="22"/>
                <w:szCs w:val="22"/>
                <w:lang w:val="en-GB"/>
              </w:rPr>
              <w:t>CodeSet</w:t>
            </w:r>
            <w:proofErr w:type="spellEnd"/>
          </w:p>
        </w:tc>
      </w:tr>
      <w:tr w:rsidR="000B0DA8" w:rsidRPr="000B0DA8" w:rsidTr="000B0DA8">
        <w:trPr>
          <w:trHeight w:val="315"/>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Or}</w:t>
            </w:r>
          </w:p>
        </w:tc>
        <w:tc>
          <w:tcPr>
            <w:tcW w:w="5264"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Transaction &lt;</w:t>
            </w:r>
            <w:proofErr w:type="spellStart"/>
            <w:r w:rsidRPr="000B0DA8">
              <w:rPr>
                <w:rFonts w:ascii="Calibri" w:eastAsia="Calibri" w:hAnsi="Calibri"/>
                <w:sz w:val="22"/>
                <w:szCs w:val="22"/>
                <w:lang w:val="en-GB"/>
              </w:rPr>
              <w:t>Tx</w:t>
            </w:r>
            <w:proofErr w:type="spellEnd"/>
            <w:r w:rsidRPr="000B0DA8">
              <w:rPr>
                <w:rFonts w:ascii="Calibri" w:eastAsia="Calibri" w:hAnsi="Calibri"/>
                <w:sz w:val="22"/>
                <w:szCs w:val="22"/>
                <w:lang w:val="en-GB"/>
              </w:rPr>
              <w:t>&gt;</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[1..*]</w:t>
            </w:r>
          </w:p>
        </w:tc>
        <w:tc>
          <w:tcPr>
            <w:tcW w:w="1228"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r>
      <w:tr w:rsidR="000B0DA8" w:rsidRPr="000B0DA8" w:rsidTr="000B0DA8">
        <w:trPr>
          <w:trHeight w:val="315"/>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c>
          <w:tcPr>
            <w:tcW w:w="5264"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c>
          <w:tcPr>
            <w:tcW w:w="1228"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r>
      <w:tr w:rsidR="000B0DA8" w:rsidRPr="000B0DA8" w:rsidTr="000B0DA8">
        <w:trPr>
          <w:trHeight w:val="315"/>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c>
          <w:tcPr>
            <w:tcW w:w="5264"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color w:val="FF0000"/>
                <w:sz w:val="22"/>
                <w:szCs w:val="22"/>
                <w:lang w:val="en-GB"/>
              </w:rPr>
            </w:pPr>
            <w:proofErr w:type="spellStart"/>
            <w:r w:rsidRPr="000B0DA8">
              <w:rPr>
                <w:rFonts w:ascii="Calibri" w:eastAsia="Calibri" w:hAnsi="Calibri"/>
                <w:color w:val="FF0000"/>
                <w:sz w:val="22"/>
                <w:szCs w:val="22"/>
                <w:lang w:val="en-GB"/>
              </w:rPr>
              <w:t>NovationStatus</w:t>
            </w:r>
            <w:proofErr w:type="spellEnd"/>
            <w:r w:rsidRPr="000B0DA8">
              <w:rPr>
                <w:rFonts w:ascii="Calibri" w:eastAsia="Calibri" w:hAnsi="Calibri"/>
                <w:color w:val="FF0000"/>
                <w:sz w:val="22"/>
                <w:szCs w:val="22"/>
                <w:lang w:val="en-GB"/>
              </w:rPr>
              <w:t xml:space="preserve"> &lt;</w:t>
            </w:r>
            <w:proofErr w:type="spellStart"/>
            <w:r w:rsidRPr="000B0DA8">
              <w:rPr>
                <w:rFonts w:ascii="Calibri" w:eastAsia="Calibri" w:hAnsi="Calibri"/>
                <w:color w:val="FF0000"/>
                <w:sz w:val="22"/>
                <w:szCs w:val="22"/>
                <w:lang w:val="en-GB"/>
              </w:rPr>
              <w:t>NovaSts</w:t>
            </w:r>
            <w:proofErr w:type="spellEnd"/>
            <w:r w:rsidRPr="000B0DA8">
              <w:rPr>
                <w:rFonts w:ascii="Calibri" w:eastAsia="Calibri" w:hAnsi="Calibri"/>
                <w:color w:val="FF0000"/>
                <w:sz w:val="22"/>
                <w:szCs w:val="22"/>
                <w:lang w:val="en-GB"/>
              </w:rPr>
              <w:t>&gt;</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color w:val="FF0000"/>
                <w:sz w:val="22"/>
                <w:szCs w:val="22"/>
                <w:lang w:val="en-GB"/>
              </w:rPr>
            </w:pPr>
            <w:r w:rsidRPr="000B0DA8">
              <w:rPr>
                <w:rFonts w:ascii="Calibri" w:eastAsia="Calibri" w:hAnsi="Calibri"/>
                <w:color w:val="FF0000"/>
                <w:sz w:val="22"/>
                <w:szCs w:val="22"/>
                <w:lang w:val="en-GB"/>
              </w:rPr>
              <w:t>[0..1]</w:t>
            </w:r>
          </w:p>
        </w:tc>
        <w:tc>
          <w:tcPr>
            <w:tcW w:w="1228"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color w:val="FF0000"/>
                <w:sz w:val="22"/>
                <w:szCs w:val="22"/>
                <w:lang w:val="en-GB"/>
              </w:rPr>
            </w:pPr>
            <w:proofErr w:type="spellStart"/>
            <w:r w:rsidRPr="000B0DA8">
              <w:rPr>
                <w:rFonts w:ascii="Calibri" w:eastAsia="Calibri" w:hAnsi="Calibri"/>
                <w:color w:val="FF0000"/>
                <w:sz w:val="22"/>
                <w:szCs w:val="22"/>
                <w:lang w:val="en-GB"/>
              </w:rPr>
              <w:t>CodeSet</w:t>
            </w:r>
            <w:proofErr w:type="spellEnd"/>
          </w:p>
        </w:tc>
      </w:tr>
      <w:tr w:rsidR="000B0DA8" w:rsidRPr="000B0DA8" w:rsidTr="000B0DA8">
        <w:trPr>
          <w:trHeight w:val="315"/>
        </w:trPr>
        <w:tc>
          <w:tcPr>
            <w:tcW w:w="6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B0DA8" w:rsidRPr="000B0DA8" w:rsidRDefault="007E506D" w:rsidP="000B0DA8">
            <w:pPr>
              <w:spacing w:before="0"/>
              <w:rPr>
                <w:rFonts w:ascii="Calibri" w:eastAsia="Calibri" w:hAnsi="Calibri"/>
                <w:sz w:val="22"/>
                <w:szCs w:val="22"/>
                <w:lang w:val="en-GB"/>
              </w:rPr>
            </w:pPr>
            <w:r>
              <w:rPr>
                <w:noProof/>
                <w:lang w:val="en-GB" w:eastAsia="en-GB"/>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 2" descr="cid:image008.png@01D2046B.B9427D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8.png@01D2046B.B9427DC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64"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color w:val="FF0000"/>
                <w:sz w:val="22"/>
                <w:szCs w:val="22"/>
                <w:lang w:val="en-GB"/>
              </w:rPr>
            </w:pPr>
            <w:proofErr w:type="spellStart"/>
            <w:r w:rsidRPr="000B0DA8">
              <w:rPr>
                <w:rFonts w:ascii="Calibri" w:eastAsia="Calibri" w:hAnsi="Calibri"/>
                <w:color w:val="FF0000"/>
                <w:sz w:val="22"/>
                <w:szCs w:val="22"/>
                <w:lang w:val="en-GB"/>
              </w:rPr>
              <w:t>LinkedProprietaryTransactionIdentification</w:t>
            </w:r>
            <w:proofErr w:type="spellEnd"/>
            <w:r w:rsidRPr="000B0DA8">
              <w:rPr>
                <w:rFonts w:ascii="Calibri" w:eastAsia="Calibri" w:hAnsi="Calibri"/>
                <w:color w:val="FF0000"/>
                <w:sz w:val="22"/>
                <w:szCs w:val="22"/>
                <w:lang w:val="en-GB"/>
              </w:rPr>
              <w:t xml:space="preserve"> &lt;</w:t>
            </w:r>
            <w:proofErr w:type="spellStart"/>
            <w:r w:rsidRPr="000B0DA8">
              <w:rPr>
                <w:rFonts w:ascii="Calibri" w:eastAsia="Calibri" w:hAnsi="Calibri"/>
                <w:color w:val="FF0000"/>
                <w:sz w:val="22"/>
                <w:szCs w:val="22"/>
                <w:lang w:val="en-GB"/>
              </w:rPr>
              <w:t>LinkedPrtryTxId</w:t>
            </w:r>
            <w:proofErr w:type="spellEnd"/>
            <w:r w:rsidRPr="000B0DA8">
              <w:rPr>
                <w:rFonts w:ascii="Calibri" w:eastAsia="Calibri" w:hAnsi="Calibri"/>
                <w:color w:val="FF0000"/>
                <w:sz w:val="22"/>
                <w:szCs w:val="22"/>
                <w:lang w:val="en-GB"/>
              </w:rPr>
              <w:t>&gt;</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color w:val="FF0000"/>
                <w:sz w:val="22"/>
                <w:szCs w:val="22"/>
                <w:lang w:val="en-GB"/>
              </w:rPr>
            </w:pPr>
            <w:r w:rsidRPr="000B0DA8">
              <w:rPr>
                <w:rFonts w:ascii="Calibri" w:eastAsia="Calibri" w:hAnsi="Calibri"/>
                <w:color w:val="FF0000"/>
                <w:sz w:val="22"/>
                <w:szCs w:val="22"/>
                <w:lang w:val="en-GB"/>
              </w:rPr>
              <w:t>[0..1]</w:t>
            </w:r>
          </w:p>
        </w:tc>
        <w:tc>
          <w:tcPr>
            <w:tcW w:w="1228"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color w:val="FF0000"/>
                <w:sz w:val="22"/>
                <w:szCs w:val="22"/>
                <w:lang w:val="en-GB"/>
              </w:rPr>
            </w:pPr>
            <w:r w:rsidRPr="000B0DA8">
              <w:rPr>
                <w:rFonts w:ascii="Calibri" w:eastAsia="Calibri" w:hAnsi="Calibri"/>
                <w:color w:val="FF0000"/>
                <w:sz w:val="22"/>
                <w:szCs w:val="22"/>
                <w:lang w:val="en-GB"/>
              </w:rPr>
              <w:t>Text</w:t>
            </w:r>
          </w:p>
        </w:tc>
      </w:tr>
      <w:tr w:rsidR="000B0DA8" w:rsidRPr="000B0DA8" w:rsidTr="000B0DA8">
        <w:trPr>
          <w:trHeight w:val="315"/>
        </w:trPr>
        <w:tc>
          <w:tcPr>
            <w:tcW w:w="6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c>
          <w:tcPr>
            <w:tcW w:w="5264"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w:t>
            </w:r>
          </w:p>
        </w:tc>
        <w:tc>
          <w:tcPr>
            <w:tcW w:w="961"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c>
          <w:tcPr>
            <w:tcW w:w="1228" w:type="dxa"/>
            <w:tcBorders>
              <w:top w:val="nil"/>
              <w:left w:val="nil"/>
              <w:bottom w:val="single" w:sz="8" w:space="0" w:color="auto"/>
              <w:right w:val="single" w:sz="8" w:space="0" w:color="auto"/>
            </w:tcBorders>
            <w:tcMar>
              <w:top w:w="0" w:type="dxa"/>
              <w:left w:w="108" w:type="dxa"/>
              <w:bottom w:w="0" w:type="dxa"/>
              <w:right w:w="108" w:type="dxa"/>
            </w:tcMar>
            <w:hideMark/>
          </w:tcPr>
          <w:p w:rsidR="000B0DA8" w:rsidRPr="000B0DA8" w:rsidRDefault="000B0DA8" w:rsidP="000B0DA8">
            <w:pPr>
              <w:spacing w:before="0"/>
              <w:rPr>
                <w:rFonts w:ascii="Calibri" w:eastAsia="Calibri" w:hAnsi="Calibri"/>
                <w:sz w:val="22"/>
                <w:szCs w:val="22"/>
                <w:lang w:val="en-GB"/>
              </w:rPr>
            </w:pPr>
            <w:r w:rsidRPr="000B0DA8">
              <w:rPr>
                <w:rFonts w:ascii="Calibri" w:eastAsia="Calibri" w:hAnsi="Calibri"/>
                <w:sz w:val="22"/>
                <w:szCs w:val="22"/>
                <w:lang w:val="en-GB"/>
              </w:rPr>
              <w:t> </w:t>
            </w:r>
          </w:p>
        </w:tc>
      </w:tr>
    </w:tbl>
    <w:p w:rsidR="000B0DA8" w:rsidRDefault="000B0DA8" w:rsidP="000B0DA8">
      <w:pPr>
        <w:ind w:left="360"/>
      </w:pPr>
    </w:p>
    <w:p w:rsidR="000B0DA8" w:rsidRPr="000B0DA8" w:rsidRDefault="000B0DA8" w:rsidP="006D55C6">
      <w:pPr>
        <w:ind w:left="360"/>
        <w:jc w:val="both"/>
      </w:pPr>
      <w:r w:rsidRPr="000B0DA8">
        <w:t xml:space="preserve">The element </w:t>
      </w:r>
      <w:proofErr w:type="spellStart"/>
      <w:r w:rsidRPr="000B0DA8">
        <w:t>NovationStatus</w:t>
      </w:r>
      <w:proofErr w:type="spellEnd"/>
      <w:r w:rsidRPr="000B0DA8">
        <w:t xml:space="preserve"> &lt;</w:t>
      </w:r>
      <w:proofErr w:type="spellStart"/>
      <w:r w:rsidRPr="000B0DA8">
        <w:t>NovaSts</w:t>
      </w:r>
      <w:proofErr w:type="spellEnd"/>
      <w:r w:rsidRPr="000B0DA8">
        <w:t xml:space="preserve">&gt; should be populated with one of the following two codes: </w:t>
      </w:r>
    </w:p>
    <w:tbl>
      <w:tblPr>
        <w:tblpPr w:leftFromText="180" w:rightFromText="180" w:vertAnchor="text" w:horzAnchor="margin" w:tblpX="534" w:tblpY="340"/>
        <w:tblW w:w="7087" w:type="dxa"/>
        <w:tblCellMar>
          <w:left w:w="0" w:type="dxa"/>
          <w:right w:w="0" w:type="dxa"/>
        </w:tblCellMar>
        <w:tblLook w:val="04A0" w:firstRow="1" w:lastRow="0" w:firstColumn="1" w:lastColumn="0" w:noHBand="0" w:noVBand="1"/>
      </w:tblPr>
      <w:tblGrid>
        <w:gridCol w:w="1626"/>
        <w:gridCol w:w="1488"/>
        <w:gridCol w:w="3973"/>
      </w:tblGrid>
      <w:tr w:rsidR="000B0DA8" w:rsidTr="00A20CDB">
        <w:trPr>
          <w:trHeight w:val="315"/>
        </w:trPr>
        <w:tc>
          <w:tcPr>
            <w:tcW w:w="1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b/>
                <w:bCs/>
                <w:sz w:val="22"/>
                <w:szCs w:val="22"/>
              </w:rPr>
            </w:pPr>
            <w:proofErr w:type="spellStart"/>
            <w:r w:rsidRPr="000B0DA8">
              <w:rPr>
                <w:b/>
                <w:bCs/>
              </w:rPr>
              <w:t>CodeName</w:t>
            </w:r>
            <w:proofErr w:type="spellEnd"/>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b/>
                <w:bCs/>
                <w:sz w:val="22"/>
                <w:szCs w:val="22"/>
              </w:rPr>
            </w:pPr>
            <w:r w:rsidRPr="000B0DA8">
              <w:rPr>
                <w:b/>
                <w:bCs/>
              </w:rPr>
              <w:t>Name</w:t>
            </w:r>
          </w:p>
        </w:tc>
        <w:tc>
          <w:tcPr>
            <w:tcW w:w="3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b/>
                <w:bCs/>
                <w:sz w:val="22"/>
                <w:szCs w:val="22"/>
              </w:rPr>
            </w:pPr>
            <w:r w:rsidRPr="000B0DA8">
              <w:rPr>
                <w:b/>
                <w:bCs/>
              </w:rPr>
              <w:t>Definition</w:t>
            </w:r>
          </w:p>
        </w:tc>
      </w:tr>
      <w:tr w:rsidR="000B0DA8" w:rsidTr="00A20CDB">
        <w:trPr>
          <w:trHeight w:val="315"/>
        </w:trPr>
        <w:tc>
          <w:tcPr>
            <w:tcW w:w="1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sz w:val="22"/>
                <w:szCs w:val="22"/>
              </w:rPr>
            </w:pPr>
            <w:r w:rsidRPr="000B0DA8">
              <w:t>NOVA</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sz w:val="22"/>
                <w:szCs w:val="22"/>
              </w:rPr>
            </w:pPr>
            <w:r w:rsidRPr="000B0DA8">
              <w:t>Novation</w:t>
            </w:r>
          </w:p>
        </w:tc>
        <w:tc>
          <w:tcPr>
            <w:tcW w:w="3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sz w:val="22"/>
                <w:szCs w:val="22"/>
              </w:rPr>
            </w:pPr>
            <w:r w:rsidRPr="000B0DA8">
              <w:t>Transaction is a novation.</w:t>
            </w:r>
          </w:p>
        </w:tc>
      </w:tr>
      <w:tr w:rsidR="000B0DA8" w:rsidTr="00A20CDB">
        <w:trPr>
          <w:trHeight w:val="315"/>
        </w:trPr>
        <w:tc>
          <w:tcPr>
            <w:tcW w:w="16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sz w:val="22"/>
                <w:szCs w:val="22"/>
              </w:rPr>
            </w:pPr>
            <w:r w:rsidRPr="000B0DA8">
              <w:t>NONO</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sz w:val="22"/>
                <w:szCs w:val="22"/>
              </w:rPr>
            </w:pPr>
            <w:proofErr w:type="spellStart"/>
            <w:r w:rsidRPr="000B0DA8">
              <w:t>NoNovation</w:t>
            </w:r>
            <w:proofErr w:type="spellEnd"/>
          </w:p>
        </w:tc>
        <w:tc>
          <w:tcPr>
            <w:tcW w:w="3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B0DA8" w:rsidRPr="000B0DA8" w:rsidRDefault="000B0DA8" w:rsidP="00A20CDB">
            <w:pPr>
              <w:rPr>
                <w:rFonts w:ascii="Calibri" w:eastAsia="Calibri" w:hAnsi="Calibri"/>
                <w:sz w:val="22"/>
                <w:szCs w:val="22"/>
              </w:rPr>
            </w:pPr>
            <w:r w:rsidRPr="000B0DA8">
              <w:t>Transaction is not a novation.</w:t>
            </w:r>
          </w:p>
        </w:tc>
      </w:tr>
    </w:tbl>
    <w:p w:rsidR="000B0DA8" w:rsidRDefault="000B0DA8" w:rsidP="000B0DA8">
      <w:pPr>
        <w:ind w:left="360"/>
      </w:pPr>
    </w:p>
    <w:p w:rsidR="000B0DA8" w:rsidRDefault="000B0DA8" w:rsidP="000B0DA8">
      <w:pPr>
        <w:ind w:left="360"/>
      </w:pPr>
    </w:p>
    <w:p w:rsidR="000B0DA8" w:rsidRDefault="000B0DA8" w:rsidP="000B0DA8">
      <w:pPr>
        <w:ind w:left="360"/>
      </w:pPr>
    </w:p>
    <w:p w:rsidR="000B0DA8" w:rsidRDefault="000B0DA8" w:rsidP="000B0DA8">
      <w:pPr>
        <w:ind w:left="360"/>
      </w:pPr>
    </w:p>
    <w:p w:rsidR="000B0DA8" w:rsidRDefault="000B0DA8" w:rsidP="000B0DA8"/>
    <w:p w:rsidR="00523836" w:rsidRDefault="000B0DA8" w:rsidP="006D55C6">
      <w:pPr>
        <w:numPr>
          <w:ilvl w:val="0"/>
          <w:numId w:val="19"/>
        </w:numPr>
        <w:jc w:val="both"/>
      </w:pPr>
      <w:r w:rsidRPr="000B0DA8">
        <w:t>Adding the new code ‘MRRP’ to the variable ‘</w:t>
      </w:r>
      <w:proofErr w:type="spellStart"/>
      <w:r w:rsidRPr="000B0DA8">
        <w:t>SpecialCollateralIndicator</w:t>
      </w:r>
      <w:proofErr w:type="spellEnd"/>
      <w:r w:rsidRPr="000B0DA8">
        <w:t xml:space="preserve">’. The updated code list table for </w:t>
      </w:r>
      <w:proofErr w:type="spellStart"/>
      <w:r w:rsidRPr="000B0DA8">
        <w:t>SpecialCollateralIndicator</w:t>
      </w:r>
      <w:proofErr w:type="spellEnd"/>
      <w:r w:rsidRPr="000B0DA8">
        <w:t xml:space="preserve"> </w:t>
      </w:r>
      <w:r w:rsidR="002E093B">
        <w:t xml:space="preserve">is requested to be updated to: </w:t>
      </w:r>
    </w:p>
    <w:tbl>
      <w:tblPr>
        <w:tblpPr w:leftFromText="180" w:rightFromText="180" w:vertAnchor="text" w:horzAnchor="margin" w:tblpXSpec="center" w:tblpY="175"/>
        <w:tblW w:w="0" w:type="auto"/>
        <w:tblCellMar>
          <w:left w:w="0" w:type="dxa"/>
          <w:right w:w="0" w:type="dxa"/>
        </w:tblCellMar>
        <w:tblLook w:val="04A0" w:firstRow="1" w:lastRow="0" w:firstColumn="1" w:lastColumn="0" w:noHBand="0" w:noVBand="1"/>
      </w:tblPr>
      <w:tblGrid>
        <w:gridCol w:w="1350"/>
        <w:gridCol w:w="3285"/>
        <w:gridCol w:w="3413"/>
      </w:tblGrid>
      <w:tr w:rsidR="002E093B" w:rsidRPr="002E093B" w:rsidTr="00A20CDB">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b/>
                <w:bCs/>
                <w:szCs w:val="24"/>
                <w:lang w:val="en-GB"/>
              </w:rPr>
            </w:pPr>
            <w:proofErr w:type="spellStart"/>
            <w:r w:rsidRPr="002E093B">
              <w:rPr>
                <w:b/>
                <w:bCs/>
                <w:szCs w:val="24"/>
                <w:lang w:val="en-GB"/>
              </w:rPr>
              <w:t>CodeName</w:t>
            </w:r>
            <w:proofErr w:type="spellEnd"/>
          </w:p>
        </w:tc>
        <w:tc>
          <w:tcPr>
            <w:tcW w:w="32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b/>
                <w:bCs/>
                <w:szCs w:val="24"/>
                <w:lang w:val="en-GB"/>
              </w:rPr>
            </w:pPr>
            <w:r w:rsidRPr="002E093B">
              <w:rPr>
                <w:b/>
                <w:bCs/>
                <w:szCs w:val="24"/>
                <w:lang w:val="en-GB"/>
              </w:rPr>
              <w:t>Name</w:t>
            </w:r>
          </w:p>
        </w:tc>
        <w:tc>
          <w:tcPr>
            <w:tcW w:w="34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b/>
                <w:bCs/>
                <w:szCs w:val="24"/>
                <w:lang w:val="en-GB"/>
              </w:rPr>
            </w:pPr>
            <w:r w:rsidRPr="002E093B">
              <w:rPr>
                <w:b/>
                <w:bCs/>
                <w:szCs w:val="24"/>
                <w:lang w:val="en-GB"/>
              </w:rPr>
              <w:t>Definition</w:t>
            </w:r>
          </w:p>
        </w:tc>
      </w:tr>
      <w:tr w:rsidR="002E093B" w:rsidRPr="002E093B" w:rsidTr="00A20CDB">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MRRP</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Matched repos and reverse repos</w:t>
            </w:r>
          </w:p>
        </w:tc>
        <w:tc>
          <w:tcPr>
            <w:tcW w:w="3413" w:type="dxa"/>
            <w:tcBorders>
              <w:top w:val="nil"/>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A securities lending transaction, made of repos and reverse repos versus cash</w:t>
            </w:r>
          </w:p>
        </w:tc>
      </w:tr>
      <w:tr w:rsidR="002E093B" w:rsidRPr="002E093B" w:rsidTr="00A20CDB">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GENE</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proofErr w:type="spellStart"/>
            <w:r w:rsidRPr="002E093B">
              <w:rPr>
                <w:szCs w:val="24"/>
                <w:lang w:val="en-GB"/>
              </w:rPr>
              <w:t>GeneralRepurchaseAgreement</w:t>
            </w:r>
            <w:proofErr w:type="spellEnd"/>
          </w:p>
        </w:tc>
        <w:tc>
          <w:tcPr>
            <w:tcW w:w="3413" w:type="dxa"/>
            <w:tcBorders>
              <w:top w:val="nil"/>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A general repurchase transaction</w:t>
            </w:r>
          </w:p>
        </w:tc>
      </w:tr>
      <w:tr w:rsidR="002E093B" w:rsidRPr="002E093B" w:rsidTr="00A20CDB">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SPEC</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proofErr w:type="spellStart"/>
            <w:r w:rsidRPr="002E093B">
              <w:rPr>
                <w:szCs w:val="24"/>
                <w:lang w:val="en-GB"/>
              </w:rPr>
              <w:t>SpecialRepurchaseAgreement</w:t>
            </w:r>
            <w:proofErr w:type="spellEnd"/>
          </w:p>
        </w:tc>
        <w:tc>
          <w:tcPr>
            <w:tcW w:w="3413" w:type="dxa"/>
            <w:tcBorders>
              <w:top w:val="nil"/>
              <w:left w:val="nil"/>
              <w:bottom w:val="single" w:sz="8" w:space="0" w:color="auto"/>
              <w:right w:val="single" w:sz="8" w:space="0" w:color="auto"/>
            </w:tcBorders>
            <w:tcMar>
              <w:top w:w="0" w:type="dxa"/>
              <w:left w:w="108" w:type="dxa"/>
              <w:bottom w:w="0" w:type="dxa"/>
              <w:right w:w="108" w:type="dxa"/>
            </w:tcMar>
            <w:hideMark/>
          </w:tcPr>
          <w:p w:rsidR="002E093B" w:rsidRPr="002E093B" w:rsidRDefault="002E093B" w:rsidP="002E093B">
            <w:pPr>
              <w:rPr>
                <w:szCs w:val="24"/>
                <w:lang w:val="en-GB"/>
              </w:rPr>
            </w:pPr>
            <w:r w:rsidRPr="002E093B">
              <w:rPr>
                <w:szCs w:val="24"/>
                <w:lang w:val="en-GB"/>
              </w:rPr>
              <w:t>A special repurchase transaction</w:t>
            </w:r>
          </w:p>
        </w:tc>
      </w:tr>
    </w:tbl>
    <w:p w:rsidR="002E093B" w:rsidRDefault="000408BA" w:rsidP="000408BA">
      <w:pPr>
        <w:rPr>
          <w:szCs w:val="24"/>
          <w:lang w:val="en-GB"/>
        </w:rPr>
      </w:pPr>
      <w:r>
        <w:rPr>
          <w:szCs w:val="24"/>
          <w:lang w:val="en-GB"/>
        </w:rPr>
        <w:t xml:space="preserve"> </w:t>
      </w:r>
    </w:p>
    <w:p w:rsidR="002E093B" w:rsidRDefault="002E093B" w:rsidP="006D55C6">
      <w:pPr>
        <w:numPr>
          <w:ilvl w:val="0"/>
          <w:numId w:val="19"/>
        </w:numPr>
        <w:jc w:val="both"/>
      </w:pPr>
      <w:r>
        <w:t>Changing the structure of the elements of the ‘</w:t>
      </w:r>
      <w:proofErr w:type="spellStart"/>
      <w:r>
        <w:t>CounterpartyIdentification</w:t>
      </w:r>
      <w:proofErr w:type="spellEnd"/>
      <w:r>
        <w:t>’</w:t>
      </w:r>
    </w:p>
    <w:p w:rsidR="002E093B" w:rsidRDefault="002E093B" w:rsidP="006D55C6">
      <w:pPr>
        <w:ind w:left="360"/>
        <w:jc w:val="both"/>
      </w:pPr>
      <w:r>
        <w:t>It is requested to change the elements of the ‘</w:t>
      </w:r>
      <w:proofErr w:type="spellStart"/>
      <w:r>
        <w:t>CounterpartyIdentification</w:t>
      </w:r>
      <w:proofErr w:type="spellEnd"/>
      <w:r>
        <w:t>’ as presented in the table below to avoid the double-OR-structure within the ‘</w:t>
      </w:r>
      <w:proofErr w:type="spellStart"/>
      <w:r>
        <w:t>CounterpartyIndentification</w:t>
      </w:r>
      <w:proofErr w:type="spellEnd"/>
      <w:r>
        <w:t xml:space="preserve">’ block. </w:t>
      </w:r>
    </w:p>
    <w:tbl>
      <w:tblPr>
        <w:tblpPr w:leftFromText="180" w:rightFromText="180" w:vertAnchor="text" w:horzAnchor="margin" w:tblpXSpec="center" w:tblpY="310"/>
        <w:tblW w:w="8030" w:type="dxa"/>
        <w:tblCellMar>
          <w:left w:w="0" w:type="dxa"/>
          <w:right w:w="0" w:type="dxa"/>
        </w:tblCellMar>
        <w:tblLook w:val="04A0" w:firstRow="1" w:lastRow="0" w:firstColumn="1" w:lastColumn="0" w:noHBand="0" w:noVBand="1"/>
      </w:tblPr>
      <w:tblGrid>
        <w:gridCol w:w="730"/>
        <w:gridCol w:w="4760"/>
        <w:gridCol w:w="1200"/>
        <w:gridCol w:w="1340"/>
      </w:tblGrid>
      <w:tr w:rsidR="007039C1" w:rsidRPr="002E093B" w:rsidTr="00A20CDB">
        <w:trPr>
          <w:trHeight w:val="300"/>
        </w:trPr>
        <w:tc>
          <w:tcPr>
            <w:tcW w:w="73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39C1" w:rsidRPr="002E093B" w:rsidRDefault="007039C1" w:rsidP="007039C1">
            <w:pPr>
              <w:spacing w:before="0"/>
              <w:jc w:val="center"/>
              <w:rPr>
                <w:rFonts w:ascii="Calibri" w:eastAsia="Calibri" w:hAnsi="Calibri"/>
                <w:b/>
                <w:bCs/>
                <w:sz w:val="22"/>
                <w:szCs w:val="22"/>
                <w:lang w:val="en-GB"/>
              </w:rPr>
            </w:pPr>
            <w:r w:rsidRPr="002E093B">
              <w:rPr>
                <w:rFonts w:ascii="Calibri" w:eastAsia="Calibri" w:hAnsi="Calibri"/>
                <w:b/>
                <w:bCs/>
                <w:sz w:val="22"/>
                <w:szCs w:val="22"/>
                <w:lang w:val="en-GB"/>
              </w:rPr>
              <w:t xml:space="preserve">Or    </w:t>
            </w:r>
          </w:p>
        </w:tc>
        <w:tc>
          <w:tcPr>
            <w:tcW w:w="47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7039C1" w:rsidRPr="002E093B" w:rsidRDefault="007039C1" w:rsidP="007039C1">
            <w:pPr>
              <w:spacing w:before="0"/>
              <w:jc w:val="center"/>
              <w:rPr>
                <w:rFonts w:ascii="Calibri" w:eastAsia="Calibri" w:hAnsi="Calibri"/>
                <w:b/>
                <w:bCs/>
                <w:sz w:val="22"/>
                <w:szCs w:val="22"/>
                <w:lang w:val="en-GB"/>
              </w:rPr>
            </w:pPr>
            <w:proofErr w:type="spellStart"/>
            <w:r w:rsidRPr="002E093B">
              <w:rPr>
                <w:rFonts w:ascii="Calibri" w:eastAsia="Calibri" w:hAnsi="Calibri"/>
                <w:b/>
                <w:bCs/>
                <w:sz w:val="22"/>
                <w:szCs w:val="22"/>
                <w:lang w:val="en-GB"/>
              </w:rPr>
              <w:t>MessageElement</w:t>
            </w:r>
            <w:proofErr w:type="spellEnd"/>
            <w:r w:rsidRPr="002E093B">
              <w:rPr>
                <w:rFonts w:ascii="Calibri" w:eastAsia="Calibri" w:hAnsi="Calibri"/>
                <w:b/>
                <w:bCs/>
                <w:sz w:val="22"/>
                <w:szCs w:val="22"/>
                <w:lang w:val="en-GB"/>
              </w:rPr>
              <w:t>&lt;XML Tag&gt;</w:t>
            </w:r>
          </w:p>
        </w:tc>
        <w:tc>
          <w:tcPr>
            <w:tcW w:w="12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7039C1" w:rsidRPr="002E093B" w:rsidRDefault="007039C1" w:rsidP="007039C1">
            <w:pPr>
              <w:spacing w:before="0"/>
              <w:jc w:val="center"/>
              <w:rPr>
                <w:rFonts w:ascii="Calibri" w:eastAsia="Calibri" w:hAnsi="Calibri"/>
                <w:b/>
                <w:bCs/>
                <w:sz w:val="22"/>
                <w:szCs w:val="22"/>
                <w:lang w:val="en-GB"/>
              </w:rPr>
            </w:pPr>
            <w:proofErr w:type="spellStart"/>
            <w:r w:rsidRPr="002E093B">
              <w:rPr>
                <w:rFonts w:ascii="Calibri" w:eastAsia="Calibri" w:hAnsi="Calibri"/>
                <w:b/>
                <w:bCs/>
                <w:sz w:val="22"/>
                <w:szCs w:val="22"/>
                <w:lang w:val="en-GB"/>
              </w:rPr>
              <w:t>Mult</w:t>
            </w:r>
            <w:proofErr w:type="spellEnd"/>
            <w:r w:rsidRPr="002E093B">
              <w:rPr>
                <w:rFonts w:ascii="Calibri" w:eastAsia="Calibri" w:hAnsi="Calibri"/>
                <w:b/>
                <w:bCs/>
                <w:sz w:val="22"/>
                <w:szCs w:val="22"/>
                <w:lang w:val="en-GB"/>
              </w:rPr>
              <w:t>.</w:t>
            </w:r>
          </w:p>
        </w:tc>
        <w:tc>
          <w:tcPr>
            <w:tcW w:w="13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7039C1" w:rsidRPr="002E093B" w:rsidRDefault="007039C1" w:rsidP="007039C1">
            <w:pPr>
              <w:spacing w:before="0"/>
              <w:jc w:val="center"/>
              <w:rPr>
                <w:rFonts w:ascii="Calibri" w:eastAsia="Calibri" w:hAnsi="Calibri"/>
                <w:b/>
                <w:bCs/>
                <w:sz w:val="22"/>
                <w:szCs w:val="22"/>
                <w:lang w:val="en-GB"/>
              </w:rPr>
            </w:pPr>
            <w:r w:rsidRPr="002E093B">
              <w:rPr>
                <w:rFonts w:ascii="Calibri" w:eastAsia="Calibri" w:hAnsi="Calibri"/>
                <w:b/>
                <w:bCs/>
                <w:sz w:val="22"/>
                <w:szCs w:val="22"/>
                <w:lang w:val="en-GB"/>
              </w:rPr>
              <w:t>Type</w:t>
            </w:r>
          </w:p>
        </w:tc>
      </w:tr>
      <w:tr w:rsidR="007039C1" w:rsidRPr="002E093B" w:rsidTr="00A20CDB">
        <w:trPr>
          <w:trHeight w:val="300"/>
        </w:trPr>
        <w:tc>
          <w:tcPr>
            <w:tcW w:w="7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 xml:space="preserve">{Or </w:t>
            </w:r>
          </w:p>
        </w:tc>
        <w:tc>
          <w:tcPr>
            <w:tcW w:w="47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 xml:space="preserve">LEI &lt;LEI&gt; </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proofErr w:type="spellStart"/>
            <w:r w:rsidRPr="002E093B">
              <w:rPr>
                <w:rFonts w:ascii="Calibri" w:eastAsia="Calibri" w:hAnsi="Calibri"/>
                <w:sz w:val="22"/>
                <w:szCs w:val="22"/>
                <w:lang w:val="en-GB"/>
              </w:rPr>
              <w:t>IdentifierSet</w:t>
            </w:r>
            <w:proofErr w:type="spellEnd"/>
            <w:r w:rsidRPr="002E093B">
              <w:rPr>
                <w:rFonts w:ascii="Calibri" w:eastAsia="Calibri" w:hAnsi="Calibri"/>
                <w:sz w:val="22"/>
                <w:szCs w:val="22"/>
                <w:lang w:val="en-GB"/>
              </w:rPr>
              <w:t xml:space="preserve"> </w:t>
            </w:r>
          </w:p>
        </w:tc>
      </w:tr>
      <w:tr w:rsidR="007039C1" w:rsidRPr="002E093B" w:rsidTr="002329A2">
        <w:trPr>
          <w:trHeight w:val="300"/>
        </w:trPr>
        <w:tc>
          <w:tcPr>
            <w:tcW w:w="730"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Or</w:t>
            </w:r>
          </w:p>
        </w:tc>
        <w:tc>
          <w:tcPr>
            <w:tcW w:w="4760"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color w:val="FF0000"/>
                <w:sz w:val="22"/>
                <w:szCs w:val="22"/>
                <w:lang w:val="en-GB"/>
              </w:rPr>
            </w:pPr>
            <w:proofErr w:type="spellStart"/>
            <w:r w:rsidRPr="002E093B">
              <w:rPr>
                <w:rFonts w:ascii="Calibri" w:eastAsia="Calibri" w:hAnsi="Calibri"/>
                <w:color w:val="FF0000"/>
                <w:sz w:val="22"/>
                <w:szCs w:val="22"/>
                <w:lang w:val="en-GB"/>
              </w:rPr>
              <w:t>SectorLocation</w:t>
            </w:r>
            <w:proofErr w:type="spellEnd"/>
            <w:r w:rsidRPr="002E093B">
              <w:rPr>
                <w:rFonts w:ascii="Calibri" w:eastAsia="Calibri" w:hAnsi="Calibri"/>
                <w:color w:val="FF0000"/>
                <w:sz w:val="22"/>
                <w:szCs w:val="22"/>
                <w:lang w:val="en-GB"/>
              </w:rPr>
              <w:t xml:space="preserve"> &lt;</w:t>
            </w:r>
            <w:proofErr w:type="spellStart"/>
            <w:r w:rsidRPr="002E093B">
              <w:rPr>
                <w:rFonts w:ascii="Calibri" w:eastAsia="Calibri" w:hAnsi="Calibri"/>
                <w:color w:val="FF0000"/>
                <w:sz w:val="22"/>
                <w:szCs w:val="22"/>
                <w:lang w:val="en-GB"/>
              </w:rPr>
              <w:t>SctrLctn</w:t>
            </w:r>
            <w:proofErr w:type="spellEnd"/>
            <w:r w:rsidRPr="002E093B">
              <w:rPr>
                <w:rFonts w:ascii="Calibri" w:eastAsia="Calibri" w:hAnsi="Calibri"/>
                <w:color w:val="FF0000"/>
                <w:sz w:val="22"/>
                <w:szCs w:val="22"/>
                <w:lang w:val="en-GB"/>
              </w:rPr>
              <w:t>&gt;</w:t>
            </w:r>
          </w:p>
        </w:tc>
        <w:tc>
          <w:tcPr>
            <w:tcW w:w="1200"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nil"/>
              <w:left w:val="nil"/>
              <w:bottom w:val="single" w:sz="4" w:space="0" w:color="auto"/>
              <w:right w:val="single" w:sz="8" w:space="0" w:color="auto"/>
            </w:tcBorders>
            <w:noWrap/>
            <w:tcMar>
              <w:top w:w="0" w:type="dxa"/>
              <w:left w:w="70" w:type="dxa"/>
              <w:bottom w:w="0" w:type="dxa"/>
              <w:right w:w="70" w:type="dxa"/>
            </w:tcMar>
            <w:vAlign w:val="bottom"/>
          </w:tcPr>
          <w:p w:rsidR="007039C1" w:rsidRPr="002E093B" w:rsidRDefault="007039C1" w:rsidP="007039C1">
            <w:pPr>
              <w:spacing w:before="0"/>
              <w:rPr>
                <w:rFonts w:ascii="Calibri" w:eastAsia="Calibri" w:hAnsi="Calibri"/>
                <w:sz w:val="22"/>
                <w:szCs w:val="22"/>
                <w:lang w:val="en-GB"/>
              </w:rPr>
            </w:pPr>
          </w:p>
        </w:tc>
      </w:tr>
      <w:tr w:rsidR="007039C1" w:rsidRPr="002E093B" w:rsidTr="002329A2">
        <w:trPr>
          <w:trHeight w:val="300"/>
        </w:trPr>
        <w:tc>
          <w:tcPr>
            <w:tcW w:w="7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eastAsia="Times New Roman"/>
                <w:sz w:val="20"/>
                <w:lang w:val="en-GB" w:eastAsia="en-GB"/>
              </w:rPr>
            </w:pPr>
          </w:p>
        </w:tc>
        <w:tc>
          <w:tcPr>
            <w:tcW w:w="47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color w:val="FF0000"/>
                <w:sz w:val="22"/>
                <w:szCs w:val="22"/>
                <w:lang w:val="en-GB"/>
              </w:rPr>
            </w:pPr>
            <w:r w:rsidRPr="002E093B">
              <w:rPr>
                <w:rFonts w:ascii="Calibri" w:eastAsia="Calibri" w:hAnsi="Calibri"/>
                <w:color w:val="FF0000"/>
                <w:sz w:val="22"/>
                <w:szCs w:val="22"/>
                <w:lang w:val="en-GB"/>
              </w:rPr>
              <w:t>Sector &lt;</w:t>
            </w:r>
            <w:proofErr w:type="spellStart"/>
            <w:r w:rsidRPr="002E093B">
              <w:rPr>
                <w:rFonts w:ascii="Calibri" w:eastAsia="Calibri" w:hAnsi="Calibri"/>
                <w:color w:val="FF0000"/>
                <w:sz w:val="22"/>
                <w:szCs w:val="22"/>
                <w:lang w:val="en-GB"/>
              </w:rPr>
              <w:t>Sctr</w:t>
            </w:r>
            <w:proofErr w:type="spellEnd"/>
            <w:r w:rsidRPr="002E093B">
              <w:rPr>
                <w:rFonts w:ascii="Calibri" w:eastAsia="Calibri" w:hAnsi="Calibri"/>
                <w:color w:val="FF0000"/>
                <w:sz w:val="22"/>
                <w:szCs w:val="22"/>
                <w:lang w:val="en-GB"/>
              </w:rPr>
              <w:t>&gt;</w:t>
            </w:r>
          </w:p>
        </w:tc>
        <w:tc>
          <w:tcPr>
            <w:tcW w:w="1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proofErr w:type="spellStart"/>
            <w:r w:rsidRPr="002E093B">
              <w:rPr>
                <w:rFonts w:ascii="Calibri" w:eastAsia="Calibri" w:hAnsi="Calibri"/>
                <w:sz w:val="22"/>
                <w:szCs w:val="22"/>
                <w:lang w:val="en-GB"/>
              </w:rPr>
              <w:t>IdentifierSet</w:t>
            </w:r>
            <w:proofErr w:type="spellEnd"/>
          </w:p>
        </w:tc>
      </w:tr>
      <w:tr w:rsidR="007039C1" w:rsidRPr="002E093B" w:rsidTr="002329A2">
        <w:trPr>
          <w:trHeight w:val="300"/>
        </w:trPr>
        <w:tc>
          <w:tcPr>
            <w:tcW w:w="7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7039C1" w:rsidRPr="002E093B" w:rsidRDefault="007039C1" w:rsidP="007039C1">
            <w:pPr>
              <w:spacing w:before="0"/>
              <w:rPr>
                <w:rFonts w:ascii="Calibri" w:eastAsia="Calibri" w:hAnsi="Calibri"/>
                <w:sz w:val="22"/>
                <w:szCs w:val="22"/>
                <w:lang w:val="en-GB"/>
              </w:rPr>
            </w:pPr>
          </w:p>
        </w:tc>
        <w:tc>
          <w:tcPr>
            <w:tcW w:w="47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color w:val="FF0000"/>
                <w:sz w:val="22"/>
                <w:szCs w:val="22"/>
                <w:lang w:val="en-GB"/>
              </w:rPr>
            </w:pPr>
            <w:r w:rsidRPr="002E093B">
              <w:rPr>
                <w:rFonts w:ascii="Calibri" w:eastAsia="Calibri" w:hAnsi="Calibri"/>
                <w:color w:val="FF0000"/>
                <w:sz w:val="22"/>
                <w:szCs w:val="22"/>
                <w:lang w:val="en-GB"/>
              </w:rPr>
              <w:t>Location &lt;</w:t>
            </w:r>
            <w:proofErr w:type="spellStart"/>
            <w:r w:rsidRPr="002E093B">
              <w:rPr>
                <w:rFonts w:ascii="Calibri" w:eastAsia="Calibri" w:hAnsi="Calibri"/>
                <w:color w:val="FF0000"/>
                <w:sz w:val="22"/>
                <w:szCs w:val="22"/>
                <w:lang w:val="en-GB"/>
              </w:rPr>
              <w:t>Lctn</w:t>
            </w:r>
            <w:proofErr w:type="spellEnd"/>
            <w:r w:rsidRPr="002E093B">
              <w:rPr>
                <w:rFonts w:ascii="Calibri" w:eastAsia="Calibri" w:hAnsi="Calibri"/>
                <w:color w:val="FF0000"/>
                <w:sz w:val="22"/>
                <w:szCs w:val="22"/>
                <w:lang w:val="en-GB"/>
              </w:rPr>
              <w:t>&gt;</w:t>
            </w:r>
          </w:p>
        </w:tc>
        <w:tc>
          <w:tcPr>
            <w:tcW w:w="1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proofErr w:type="spellStart"/>
            <w:r w:rsidRPr="002E093B">
              <w:rPr>
                <w:rFonts w:ascii="Calibri" w:eastAsia="Calibri" w:hAnsi="Calibri"/>
                <w:sz w:val="22"/>
                <w:szCs w:val="22"/>
                <w:lang w:val="en-GB"/>
              </w:rPr>
              <w:t>CodeSet</w:t>
            </w:r>
            <w:proofErr w:type="spellEnd"/>
          </w:p>
        </w:tc>
      </w:tr>
      <w:tr w:rsidR="007039C1" w:rsidRPr="002E093B" w:rsidTr="002329A2">
        <w:trPr>
          <w:trHeight w:val="300"/>
        </w:trPr>
        <w:tc>
          <w:tcPr>
            <w:tcW w:w="7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Or}</w:t>
            </w:r>
          </w:p>
        </w:tc>
        <w:tc>
          <w:tcPr>
            <w:tcW w:w="47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color w:val="FF0000"/>
                <w:sz w:val="22"/>
                <w:szCs w:val="22"/>
                <w:lang w:val="en-GB"/>
              </w:rPr>
            </w:pPr>
            <w:proofErr w:type="spellStart"/>
            <w:r w:rsidRPr="002E093B">
              <w:rPr>
                <w:rFonts w:ascii="Calibri" w:eastAsia="Calibri" w:hAnsi="Calibri"/>
                <w:color w:val="FF0000"/>
                <w:sz w:val="22"/>
                <w:szCs w:val="22"/>
                <w:lang w:val="en-GB"/>
              </w:rPr>
              <w:t>NameLocation</w:t>
            </w:r>
            <w:proofErr w:type="spellEnd"/>
            <w:r w:rsidRPr="002E093B">
              <w:rPr>
                <w:rFonts w:ascii="Calibri" w:eastAsia="Calibri" w:hAnsi="Calibri"/>
                <w:color w:val="FF0000"/>
                <w:sz w:val="22"/>
                <w:szCs w:val="22"/>
                <w:lang w:val="en-GB"/>
              </w:rPr>
              <w:t xml:space="preserve"> &lt;</w:t>
            </w:r>
            <w:proofErr w:type="spellStart"/>
            <w:r w:rsidRPr="002E093B">
              <w:rPr>
                <w:rFonts w:ascii="Calibri" w:eastAsia="Calibri" w:hAnsi="Calibri"/>
                <w:color w:val="FF0000"/>
                <w:sz w:val="22"/>
                <w:szCs w:val="22"/>
                <w:lang w:val="en-GB"/>
              </w:rPr>
              <w:t>NmLctn</w:t>
            </w:r>
            <w:proofErr w:type="spellEnd"/>
            <w:r w:rsidRPr="002E093B">
              <w:rPr>
                <w:rFonts w:ascii="Calibri" w:eastAsia="Calibri" w:hAnsi="Calibri"/>
                <w:color w:val="FF0000"/>
                <w:sz w:val="22"/>
                <w:szCs w:val="22"/>
                <w:lang w:val="en-GB"/>
              </w:rPr>
              <w:t xml:space="preserve">&gt; </w:t>
            </w:r>
          </w:p>
        </w:tc>
        <w:tc>
          <w:tcPr>
            <w:tcW w:w="1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 </w:t>
            </w:r>
          </w:p>
        </w:tc>
      </w:tr>
      <w:tr w:rsidR="007039C1" w:rsidRPr="002E093B" w:rsidTr="002329A2">
        <w:trPr>
          <w:trHeight w:val="300"/>
        </w:trPr>
        <w:tc>
          <w:tcPr>
            <w:tcW w:w="7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 </w:t>
            </w:r>
          </w:p>
        </w:tc>
        <w:tc>
          <w:tcPr>
            <w:tcW w:w="47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color w:val="FF0000"/>
                <w:sz w:val="22"/>
                <w:szCs w:val="22"/>
                <w:lang w:val="en-GB"/>
              </w:rPr>
            </w:pPr>
            <w:r w:rsidRPr="002E093B">
              <w:rPr>
                <w:rFonts w:ascii="Calibri" w:eastAsia="Calibri" w:hAnsi="Calibri"/>
                <w:color w:val="FF0000"/>
                <w:sz w:val="22"/>
                <w:szCs w:val="22"/>
                <w:lang w:val="en-GB"/>
              </w:rPr>
              <w:t>Name &lt;Nm&gt;</w:t>
            </w:r>
          </w:p>
        </w:tc>
        <w:tc>
          <w:tcPr>
            <w:tcW w:w="1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Text</w:t>
            </w:r>
          </w:p>
        </w:tc>
      </w:tr>
      <w:tr w:rsidR="007039C1" w:rsidRPr="002E093B" w:rsidTr="002329A2">
        <w:trPr>
          <w:trHeight w:val="300"/>
        </w:trPr>
        <w:tc>
          <w:tcPr>
            <w:tcW w:w="7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 </w:t>
            </w:r>
          </w:p>
        </w:tc>
        <w:tc>
          <w:tcPr>
            <w:tcW w:w="47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color w:val="FF0000"/>
                <w:sz w:val="22"/>
                <w:szCs w:val="22"/>
                <w:lang w:val="en-GB"/>
              </w:rPr>
            </w:pPr>
            <w:r w:rsidRPr="002E093B">
              <w:rPr>
                <w:rFonts w:ascii="Calibri" w:eastAsia="Calibri" w:hAnsi="Calibri"/>
                <w:color w:val="FF0000"/>
                <w:sz w:val="22"/>
                <w:szCs w:val="22"/>
                <w:lang w:val="en-GB"/>
              </w:rPr>
              <w:t>Location &lt;</w:t>
            </w:r>
            <w:proofErr w:type="spellStart"/>
            <w:r w:rsidRPr="002E093B">
              <w:rPr>
                <w:rFonts w:ascii="Calibri" w:eastAsia="Calibri" w:hAnsi="Calibri"/>
                <w:color w:val="FF0000"/>
                <w:sz w:val="22"/>
                <w:szCs w:val="22"/>
                <w:lang w:val="en-GB"/>
              </w:rPr>
              <w:t>Lctn</w:t>
            </w:r>
            <w:proofErr w:type="spellEnd"/>
            <w:r w:rsidRPr="002E093B">
              <w:rPr>
                <w:rFonts w:ascii="Calibri" w:eastAsia="Calibri" w:hAnsi="Calibri"/>
                <w:color w:val="FF0000"/>
                <w:sz w:val="22"/>
                <w:szCs w:val="22"/>
                <w:lang w:val="en-GB"/>
              </w:rPr>
              <w:t>&gt;</w:t>
            </w:r>
          </w:p>
        </w:tc>
        <w:tc>
          <w:tcPr>
            <w:tcW w:w="1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r w:rsidRPr="002E093B">
              <w:rPr>
                <w:rFonts w:ascii="Calibri" w:eastAsia="Calibri" w:hAnsi="Calibri"/>
                <w:sz w:val="22"/>
                <w:szCs w:val="22"/>
                <w:lang w:val="en-GB"/>
              </w:rPr>
              <w:t>[1..1]</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7039C1" w:rsidRPr="002E093B" w:rsidRDefault="007039C1" w:rsidP="007039C1">
            <w:pPr>
              <w:spacing w:before="0"/>
              <w:rPr>
                <w:rFonts w:ascii="Calibri" w:eastAsia="Calibri" w:hAnsi="Calibri"/>
                <w:sz w:val="22"/>
                <w:szCs w:val="22"/>
                <w:lang w:val="en-GB"/>
              </w:rPr>
            </w:pPr>
            <w:proofErr w:type="spellStart"/>
            <w:r w:rsidRPr="002E093B">
              <w:rPr>
                <w:rFonts w:ascii="Calibri" w:eastAsia="Calibri" w:hAnsi="Calibri"/>
                <w:sz w:val="22"/>
                <w:szCs w:val="22"/>
                <w:lang w:val="en-GB"/>
              </w:rPr>
              <w:t>CodeSet</w:t>
            </w:r>
            <w:proofErr w:type="spellEnd"/>
          </w:p>
        </w:tc>
      </w:tr>
    </w:tbl>
    <w:p w:rsidR="007039C1" w:rsidRDefault="007039C1" w:rsidP="002E093B">
      <w:pPr>
        <w:ind w:left="360"/>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523836" w:rsidRDefault="00E71603" w:rsidP="006D55C6">
      <w:pPr>
        <w:numPr>
          <w:ilvl w:val="0"/>
          <w:numId w:val="20"/>
        </w:numPr>
        <w:jc w:val="both"/>
      </w:pPr>
      <w:r>
        <w:t xml:space="preserve">Currently, the code list only contains the code NOTX which is used by reporting agents to indicate that they have </w:t>
      </w:r>
      <w:r w:rsidR="00053195">
        <w:t xml:space="preserve">no </w:t>
      </w:r>
      <w:r>
        <w:t>transactions to report. The additional</w:t>
      </w:r>
      <w:r w:rsidRPr="00523836">
        <w:t xml:space="preserve"> code</w:t>
      </w:r>
      <w:r>
        <w:t xml:space="preserve"> NORA</w:t>
      </w:r>
      <w:r w:rsidRPr="00523836">
        <w:t xml:space="preserve"> is </w:t>
      </w:r>
      <w:r>
        <w:t>requested to be introduced to allow indicating that a reporting agent did not submit a report to the respective National Central Banks (NCBs). The NCBs will use the NORA code to indicate to the ECB that they did not receive a report from their reporting agent.</w:t>
      </w:r>
      <w:r w:rsidR="007E5373">
        <w:t xml:space="preserve"> The respective data flows are presented below:</w:t>
      </w:r>
    </w:p>
    <w:p w:rsidR="000D4ECD" w:rsidRDefault="00E71603" w:rsidP="006D55C6">
      <w:pPr>
        <w:jc w:val="both"/>
        <w:rPr>
          <w:sz w:val="20"/>
        </w:rPr>
      </w:pPr>
      <w:r>
        <w:rPr>
          <w:sz w:val="20"/>
        </w:rPr>
        <w:object w:dxaOrig="10516" w:dyaOrig="7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65pt;height:364.75pt" o:ole="">
            <v:imagedata r:id="rId19" o:title=""/>
          </v:shape>
          <o:OLEObject Type="Embed" ProgID="PowerPoint.Slide.12" ShapeID="_x0000_i1025" DrawAspect="Content" ObjectID="_1543150600" r:id="rId20"/>
        </w:object>
      </w:r>
    </w:p>
    <w:p w:rsidR="00523836" w:rsidRDefault="000B0DA8" w:rsidP="006D55C6">
      <w:pPr>
        <w:numPr>
          <w:ilvl w:val="0"/>
          <w:numId w:val="20"/>
        </w:numPr>
        <w:jc w:val="both"/>
      </w:pPr>
      <w:r>
        <w:t xml:space="preserve">The current schema which foresees an optional element in combination with the Sign Rule proved to be not to be very user friendly. </w:t>
      </w:r>
      <w:r w:rsidR="000D4ECD">
        <w:t xml:space="preserve">The current Sign Rule instructs the users to not provide a sign in case the rate is zero and leaves the reporting of the sign optional for the case of positive rates. Currently, the respective elements of the XML-schema are frequently not correctly populated. For example, since the sign tag is optional sometimes </w:t>
      </w:r>
      <w:r w:rsidR="000D4ECD">
        <w:lastRenderedPageBreak/>
        <w:t>negative rates are reported without the sign (and therefore interpreted as positive). To ensure a correct reporting of the sign of the rates, it is deemed necessary to make the reporting of the sign tag mandatory f</w:t>
      </w:r>
      <w:r w:rsidR="00F35245">
        <w:t>or all cases.</w:t>
      </w:r>
    </w:p>
    <w:p w:rsidR="000B0DA8" w:rsidRPr="00100DC4" w:rsidRDefault="000B0DA8" w:rsidP="006D55C6">
      <w:pPr>
        <w:numPr>
          <w:ilvl w:val="0"/>
          <w:numId w:val="20"/>
        </w:numPr>
        <w:jc w:val="both"/>
      </w:pPr>
      <w:r w:rsidRPr="00100DC4">
        <w:t>This new element is needed to identify novated transactions since they differ in their structure from ‘normal’ transactions</w:t>
      </w:r>
      <w:r w:rsidR="00100DC4" w:rsidRPr="00100DC4">
        <w:t xml:space="preserve">. </w:t>
      </w:r>
      <w:r w:rsidR="00100DC4">
        <w:t xml:space="preserve">Novated transactions </w:t>
      </w:r>
      <w:r w:rsidR="005F23A9">
        <w:t xml:space="preserve">can </w:t>
      </w:r>
      <w:r w:rsidR="00100DC4">
        <w:t xml:space="preserve">have a different maturity structure as in this case the Trade Date can be after the Settlement Date (which still refers to the initial transaction). </w:t>
      </w:r>
      <w:r w:rsidR="00754A60">
        <w:t xml:space="preserve">While this different maturity structure can already be reported with the current messages, the new fields will allow to </w:t>
      </w:r>
      <w:r w:rsidR="00A33B5E">
        <w:t>report</w:t>
      </w:r>
      <w:r w:rsidR="00754A60">
        <w:t xml:space="preserve"> the respective transactions </w:t>
      </w:r>
      <w:r w:rsidR="00A33B5E">
        <w:t xml:space="preserve">as such </w:t>
      </w:r>
      <w:r w:rsidR="00754A60">
        <w:t xml:space="preserve">and to link them to the related initial transaction (which was novated). This change will allow distinguishing between novated transactions and regular transactions, providing substantial benefit for the subsequent Data Quality Management which is conducted by the data collections. More specifically, the new fields will allow identifying transactions reported with error. Furthermore, the new field to link the novated transaction to the initial transaction will provide </w:t>
      </w:r>
      <w:r w:rsidR="006E33C1">
        <w:t xml:space="preserve">more information which will be important from an analytical perspective. </w:t>
      </w:r>
    </w:p>
    <w:p w:rsidR="006E33C1" w:rsidRDefault="006E33C1" w:rsidP="006D55C6">
      <w:pPr>
        <w:numPr>
          <w:ilvl w:val="0"/>
          <w:numId w:val="20"/>
        </w:numPr>
        <w:jc w:val="both"/>
      </w:pPr>
      <w:r>
        <w:t xml:space="preserve">A new element is requested to be included in the code list to </w:t>
      </w:r>
      <w:r w:rsidR="002E093B" w:rsidRPr="006E33C1">
        <w:t>distinguish security-driven and cash-driven transactions in the secured segment</w:t>
      </w:r>
      <w:r>
        <w:t xml:space="preserve">. The current code list allows flagging a secured transaction either as general or special repurchase agreement. </w:t>
      </w:r>
      <w:r w:rsidR="00806571">
        <w:t>In addition to the existing codes, the new code would allow f</w:t>
      </w:r>
      <w:r w:rsidRPr="003E1A84">
        <w:t>or the identification of a secured transaction as securities lending transaction</w:t>
      </w:r>
      <w:r w:rsidR="003E1A84">
        <w:t xml:space="preserve"> against cash</w:t>
      </w:r>
      <w:r w:rsidRPr="003E1A84">
        <w:t xml:space="preserve">. </w:t>
      </w:r>
      <w:r w:rsidR="001F189D">
        <w:t xml:space="preserve">After the start of the MMSR data collection, this request has been brought forward by many stakeholders since the current implementation is perceived to be insufficient. In this respect we request the </w:t>
      </w:r>
      <w:r w:rsidRPr="003E1A84">
        <w:t xml:space="preserve">inclusion of </w:t>
      </w:r>
      <w:r w:rsidR="001F189D">
        <w:t>the new</w:t>
      </w:r>
      <w:r w:rsidRPr="003E1A84">
        <w:t xml:space="preserve"> code to the current code list to facilitate the reporting. </w:t>
      </w:r>
    </w:p>
    <w:p w:rsidR="002E093B" w:rsidRPr="001F189D" w:rsidRDefault="001F189D" w:rsidP="006D55C6">
      <w:pPr>
        <w:numPr>
          <w:ilvl w:val="0"/>
          <w:numId w:val="20"/>
        </w:numPr>
        <w:jc w:val="both"/>
      </w:pPr>
      <w:r>
        <w:t xml:space="preserve">The current XML-schemas contain a very complex structure in </w:t>
      </w:r>
      <w:proofErr w:type="gramStart"/>
      <w:r>
        <w:t>the  ‘CounterpartyIdentification’</w:t>
      </w:r>
      <w:proofErr w:type="gramEnd"/>
      <w:r>
        <w:t xml:space="preserve"> block. There is a two level nested structure to identify the counterparty. This structure generated many questions regarding the necessary IT implementation on the side of the reporting agents to correctly provide the required information. It was found that the current implementation is overly complex and can be misleading. </w:t>
      </w:r>
      <w:r w:rsidR="00316235">
        <w:t>In this respect, the requested change aims</w:t>
      </w:r>
      <w:r w:rsidR="00EB3F4B">
        <w:t xml:space="preserve"> at</w:t>
      </w:r>
      <w:r w:rsidR="00316235">
        <w:t xml:space="preserve"> reducing the complexity of the XML structure while increasing clarity regarding the information which has to be reported. </w:t>
      </w:r>
    </w:p>
    <w:p w:rsidR="00523836" w:rsidRDefault="00523836" w:rsidP="00577861">
      <w:pPr>
        <w:rPr>
          <w:lang w:val="en-GB"/>
        </w:rPr>
      </w:pPr>
    </w:p>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7F3E23" w:rsidRDefault="00AF2397" w:rsidP="006D55C6">
      <w:pPr>
        <w:jc w:val="both"/>
        <w:rPr>
          <w:szCs w:val="24"/>
          <w:lang w:val="en-GB"/>
        </w:rPr>
      </w:pPr>
      <w:r>
        <w:rPr>
          <w:szCs w:val="24"/>
          <w:lang w:val="en-GB"/>
        </w:rPr>
        <w:t xml:space="preserve">The proposed changes would need to be implemented as soon as possible since the MMSR and the SMMD are already collecting data at a daily frequency by </w:t>
      </w:r>
      <w:r w:rsidR="007F3E23">
        <w:rPr>
          <w:szCs w:val="24"/>
          <w:lang w:val="en-GB"/>
        </w:rPr>
        <w:t xml:space="preserve">each </w:t>
      </w:r>
      <w:r>
        <w:rPr>
          <w:szCs w:val="24"/>
          <w:lang w:val="en-GB"/>
        </w:rPr>
        <w:t xml:space="preserve">using </w:t>
      </w:r>
      <w:r w:rsidR="007F3E23">
        <w:rPr>
          <w:szCs w:val="24"/>
          <w:lang w:val="en-GB"/>
        </w:rPr>
        <w:t xml:space="preserve">their </w:t>
      </w:r>
      <w:r>
        <w:rPr>
          <w:szCs w:val="24"/>
          <w:lang w:val="en-GB"/>
        </w:rPr>
        <w:t xml:space="preserve">respective </w:t>
      </w:r>
      <w:r w:rsidR="007F3E23">
        <w:rPr>
          <w:szCs w:val="24"/>
          <w:lang w:val="en-GB"/>
        </w:rPr>
        <w:t xml:space="preserve">versions of the </w:t>
      </w:r>
      <w:r>
        <w:rPr>
          <w:szCs w:val="24"/>
          <w:lang w:val="en-GB"/>
        </w:rPr>
        <w:t xml:space="preserve">XML-schemas. </w:t>
      </w:r>
      <w:r w:rsidR="007F3E23">
        <w:rPr>
          <w:szCs w:val="24"/>
          <w:lang w:val="en-GB"/>
        </w:rPr>
        <w:t>The current version of the public messages has not yet been used so far.</w:t>
      </w:r>
    </w:p>
    <w:p w:rsidR="007F3E23" w:rsidRDefault="007F3E23" w:rsidP="006D55C6">
      <w:pPr>
        <w:jc w:val="both"/>
        <w:rPr>
          <w:szCs w:val="24"/>
          <w:lang w:val="en-GB"/>
        </w:rPr>
      </w:pPr>
      <w:r>
        <w:rPr>
          <w:szCs w:val="24"/>
          <w:lang w:val="en-GB"/>
        </w:rPr>
        <w:t>Introducing these changes to the current public messages before the yearly maintenance cycle will allow eliminating the two versions of the candidate messages sooner and use only one new version of the public messages.</w:t>
      </w:r>
    </w:p>
    <w:p w:rsidR="007F3E23" w:rsidRDefault="007F3E23" w:rsidP="006D55C6">
      <w:pPr>
        <w:jc w:val="both"/>
        <w:rPr>
          <w:szCs w:val="24"/>
          <w:lang w:val="en-GB"/>
        </w:rPr>
      </w:pPr>
      <w:r>
        <w:rPr>
          <w:szCs w:val="24"/>
          <w:lang w:val="en-GB"/>
        </w:rPr>
        <w:t>In parallel to the update of the messages, the respective reporting instructions will need to be updated and sufficient lead time will be provided to the reporting institutions to adapt their instructions to the changed messages once these are approved and published.</w:t>
      </w:r>
    </w:p>
    <w:p w:rsidR="007F3E23" w:rsidRDefault="007F3E23" w:rsidP="006D55C6">
      <w:pPr>
        <w:jc w:val="both"/>
        <w:rPr>
          <w:szCs w:val="24"/>
          <w:lang w:val="en-GB"/>
        </w:rPr>
      </w:pPr>
      <w:r>
        <w:rPr>
          <w:szCs w:val="24"/>
          <w:lang w:val="en-GB"/>
        </w:rPr>
        <w:lastRenderedPageBreak/>
        <w:t>The changes will also allow the authorities to collect enriched transaction details that are needed for the data analysis and quality management.</w:t>
      </w:r>
    </w:p>
    <w:p w:rsidR="007F3E23" w:rsidRDefault="007F3E23" w:rsidP="006D55C6">
      <w:pPr>
        <w:jc w:val="both"/>
        <w:rPr>
          <w:szCs w:val="24"/>
          <w:lang w:val="en-GB"/>
        </w:rPr>
      </w:pPr>
      <w:r>
        <w:rPr>
          <w:szCs w:val="24"/>
          <w:lang w:val="en-GB"/>
        </w:rPr>
        <w:t>The submitters and sponsor of this change request look forward to the acknowledgement of the urgency of its implementation as the alternative would be for each authority to adapt its respective version of the candidate messages that would multiply the implementation costs for the authorities and for the reporting institutions.</w:t>
      </w:r>
    </w:p>
    <w:p w:rsidR="00B56D8A" w:rsidRDefault="00B56D8A" w:rsidP="00AA5E76">
      <w:pPr>
        <w:rPr>
          <w:szCs w:val="24"/>
          <w:lang w:val="en-GB"/>
        </w:rPr>
      </w:pP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560A9A" w:rsidRDefault="005F23A9" w:rsidP="00560A9A">
      <w:pPr>
        <w:rPr>
          <w:lang w:val="en-GB"/>
        </w:rPr>
      </w:pPr>
      <w:r>
        <w:rPr>
          <w:lang w:val="en-GB"/>
        </w:rPr>
        <w:t>See Sections D and E.</w:t>
      </w:r>
    </w:p>
    <w:p w:rsidR="00C41DDB" w:rsidRPr="00560A9A" w:rsidRDefault="00AE4D14" w:rsidP="00560A9A">
      <w:pPr>
        <w:rPr>
          <w:lang w:val="en-GB"/>
        </w:rPr>
      </w:pPr>
      <w:r w:rsidRPr="00560A9A">
        <w:rPr>
          <w:b/>
          <w:lang w:val="en-GB"/>
        </w:rPr>
        <w:br w:type="page"/>
      </w:r>
      <w:r w:rsidR="00C41DDB" w:rsidRPr="00560A9A">
        <w:rPr>
          <w:b/>
          <w:lang w:val="en-GB"/>
        </w:rPr>
        <w:lastRenderedPageBreak/>
        <w:t>SEG</w:t>
      </w:r>
      <w:r w:rsidR="005A1AA5" w:rsidRPr="00560A9A">
        <w:rPr>
          <w:b/>
          <w:lang w:val="en-GB"/>
        </w:rPr>
        <w:t>/TSG</w:t>
      </w:r>
      <w:r w:rsidR="00C41DDB" w:rsidRPr="00560A9A">
        <w:rPr>
          <w:b/>
          <w:lang w:val="en-GB"/>
        </w:rPr>
        <w:t xml:space="preserve"> recommendation:</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AA6C55"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11DCF">
              <w:rPr>
                <w:b/>
                <w:szCs w:val="24"/>
                <w:lang w:val="en-GB"/>
              </w:rPr>
              <w:t>7</w:t>
            </w:r>
            <w:r>
              <w:rPr>
                <w:b/>
                <w:szCs w:val="24"/>
                <w:lang w:val="en-GB"/>
              </w:rPr>
              <w:t>/201</w:t>
            </w:r>
            <w:r w:rsidR="00811DCF">
              <w:rPr>
                <w:b/>
                <w:szCs w:val="24"/>
                <w:lang w:val="en-GB"/>
              </w:rPr>
              <w:t>8</w:t>
            </w:r>
          </w:p>
          <w:p w:rsidR="00130EB9" w:rsidRPr="006D7FF8" w:rsidRDefault="00130EB9" w:rsidP="00811DCF">
            <w:pPr>
              <w:spacing w:before="0"/>
              <w:rPr>
                <w:szCs w:val="24"/>
                <w:lang w:val="en-GB"/>
              </w:rPr>
            </w:pPr>
            <w:r>
              <w:rPr>
                <w:szCs w:val="24"/>
                <w:lang w:val="en-GB"/>
              </w:rPr>
              <w:t>(the change will be considered for implementation in the yearly maintenance cycle which starts in 201</w:t>
            </w:r>
            <w:r w:rsidR="00811DCF">
              <w:rPr>
                <w:szCs w:val="24"/>
                <w:lang w:val="en-GB"/>
              </w:rPr>
              <w:t>7</w:t>
            </w:r>
            <w:r>
              <w:rPr>
                <w:szCs w:val="24"/>
                <w:lang w:val="en-GB"/>
              </w:rPr>
              <w:t xml:space="preserve"> and completes with the publication of new messag</w:t>
            </w:r>
            <w:r w:rsidR="00EB6791">
              <w:rPr>
                <w:szCs w:val="24"/>
                <w:lang w:val="en-GB"/>
              </w:rPr>
              <w:t>e versions in the spring of 201</w:t>
            </w:r>
            <w:r w:rsidR="00811DCF">
              <w:rPr>
                <w:szCs w:val="24"/>
                <w:lang w:val="en-GB"/>
              </w:rPr>
              <w:t>8</w:t>
            </w:r>
            <w:r>
              <w:rPr>
                <w:szCs w:val="24"/>
                <w:lang w:val="en-GB"/>
              </w:rPr>
              <w:t>)</w:t>
            </w:r>
          </w:p>
        </w:tc>
        <w:tc>
          <w:tcPr>
            <w:tcW w:w="425"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AA6C55" w:rsidP="0025138E">
            <w:pPr>
              <w:jc w:val="center"/>
              <w:rPr>
                <w:color w:val="FF0000"/>
                <w:szCs w:val="24"/>
                <w:lang w:val="en-GB"/>
              </w:rPr>
            </w:pPr>
            <w:r>
              <w:rPr>
                <w:color w:val="FF0000"/>
                <w:szCs w:val="24"/>
                <w:lang w:val="en-GB"/>
              </w:rPr>
              <w:t>X</w:t>
            </w: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AA6C55" w:rsidP="00C41DDB">
      <w:pPr>
        <w:rPr>
          <w:szCs w:val="24"/>
          <w:lang w:val="en-GB"/>
        </w:rPr>
      </w:pPr>
      <w:r>
        <w:rPr>
          <w:szCs w:val="24"/>
          <w:lang w:val="en-GB"/>
        </w:rPr>
        <w:t>The SEG agreed to consider the CR for urgent implementation. Separate comments were communicated directly to the submitter by a SEG member.</w:t>
      </w:r>
      <w:bookmarkStart w:id="0" w:name="_GoBack"/>
      <w:bookmarkEnd w:id="0"/>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0A9A" w:rsidRDefault="00C41DDB" w:rsidP="00567F13">
      <w:pPr>
        <w:rPr>
          <w:szCs w:val="24"/>
          <w:lang w:val="en-GB"/>
        </w:rPr>
      </w:pPr>
      <w:r w:rsidRPr="00560A9A">
        <w:rPr>
          <w:szCs w:val="24"/>
          <w:lang w:val="en-GB"/>
        </w:rPr>
        <w:t>Reason for rejection:</w:t>
      </w:r>
    </w:p>
    <w:sectPr w:rsidR="007D6A9F" w:rsidRPr="00560A9A" w:rsidSect="000A172E">
      <w:headerReference w:type="even" r:id="rId21"/>
      <w:headerReference w:type="default" r:id="rId22"/>
      <w:footerReference w:type="even" r:id="rId23"/>
      <w:footerReference w:type="default" r:id="rId24"/>
      <w:headerReference w:type="first" r:id="rId25"/>
      <w:footerReference w:type="first" r:id="rId2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4C2" w:rsidRDefault="001174C2">
      <w:r>
        <w:separator/>
      </w:r>
    </w:p>
  </w:endnote>
  <w:endnote w:type="continuationSeparator" w:id="0">
    <w:p w:rsidR="001174C2" w:rsidRDefault="0011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52A" w:rsidRDefault="000E15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AA6C55">
    <w:pPr>
      <w:pStyle w:val="Footer"/>
      <w:rPr>
        <w:rStyle w:val="PageNumber"/>
      </w:rPr>
    </w:pPr>
    <w:r>
      <w:fldChar w:fldCharType="begin"/>
    </w:r>
    <w:r>
      <w:instrText xml:space="preserve"> FILENAME   \* MERGEFORMAT </w:instrText>
    </w:r>
    <w:r>
      <w:fldChar w:fldCharType="separate"/>
    </w:r>
    <w:r w:rsidR="00913AAA">
      <w:rPr>
        <w:noProof/>
      </w:rPr>
      <w:t>CR0644_ECB_FRCB_ESCB_DBundesbank_BOE_MMSR_v</w:t>
    </w:r>
    <w:r>
      <w:rPr>
        <w:noProof/>
      </w:rPr>
      <w:t>2</w:t>
    </w:r>
    <w:r>
      <w:rPr>
        <w:noProof/>
      </w:rPr>
      <w:fldChar w:fldCharType="end"/>
    </w:r>
    <w:r>
      <w:rPr>
        <w:noProof/>
      </w:rPr>
      <w:t xml:space="preserve"> </w:t>
    </w:r>
    <w:r w:rsidR="00567F13">
      <w:t xml:space="preserve">Produced by </w:t>
    </w:r>
    <w:r w:rsidR="001F4B75">
      <w:t>ECB</w:t>
    </w:r>
    <w:r w:rsidR="00567F13" w:rsidDel="00CC062F">
      <w:t xml:space="preserve"> </w:t>
    </w:r>
    <w:r w:rsidR="00A9539C">
      <w:t>on 03 Nov 2016</w:t>
    </w:r>
    <w:r w:rsidR="00632A59">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7</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52A" w:rsidRDefault="000E15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4C2" w:rsidRDefault="001174C2">
      <w:r>
        <w:separator/>
      </w:r>
    </w:p>
  </w:footnote>
  <w:footnote w:type="continuationSeparator" w:id="0">
    <w:p w:rsidR="001174C2" w:rsidRDefault="00117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52A" w:rsidRDefault="000E15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E1002C">
      <w:rPr>
        <w:lang w:val="fr-BE"/>
      </w:rPr>
      <w:t>CR0644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52A" w:rsidRDefault="000E15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34578E3"/>
    <w:multiLevelType w:val="hybridMultilevel"/>
    <w:tmpl w:val="54083596"/>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start w:val="1"/>
      <w:numFmt w:val="bullet"/>
      <w:lvlText w:val="o"/>
      <w:lvlJc w:val="left"/>
      <w:pPr>
        <w:ind w:left="3646" w:hanging="360"/>
      </w:pPr>
      <w:rPr>
        <w:rFonts w:ascii="Courier New" w:hAnsi="Courier New" w:cs="Courier New" w:hint="default"/>
      </w:rPr>
    </w:lvl>
    <w:lvl w:ilvl="5" w:tplc="08090005">
      <w:start w:val="1"/>
      <w:numFmt w:val="bullet"/>
      <w:lvlText w:val=""/>
      <w:lvlJc w:val="left"/>
      <w:pPr>
        <w:ind w:left="4366" w:hanging="360"/>
      </w:pPr>
      <w:rPr>
        <w:rFonts w:ascii="Wingdings" w:hAnsi="Wingdings" w:hint="default"/>
      </w:rPr>
    </w:lvl>
    <w:lvl w:ilvl="6" w:tplc="08090001">
      <w:start w:val="1"/>
      <w:numFmt w:val="bullet"/>
      <w:lvlText w:val=""/>
      <w:lvlJc w:val="left"/>
      <w:pPr>
        <w:ind w:left="5086" w:hanging="360"/>
      </w:pPr>
      <w:rPr>
        <w:rFonts w:ascii="Symbol" w:hAnsi="Symbol" w:hint="default"/>
      </w:rPr>
    </w:lvl>
    <w:lvl w:ilvl="7" w:tplc="08090003">
      <w:start w:val="1"/>
      <w:numFmt w:val="bullet"/>
      <w:lvlText w:val="o"/>
      <w:lvlJc w:val="left"/>
      <w:pPr>
        <w:ind w:left="5806" w:hanging="360"/>
      </w:pPr>
      <w:rPr>
        <w:rFonts w:ascii="Courier New" w:hAnsi="Courier New" w:cs="Courier New" w:hint="default"/>
      </w:rPr>
    </w:lvl>
    <w:lvl w:ilvl="8" w:tplc="08090005">
      <w:start w:val="1"/>
      <w:numFmt w:val="bullet"/>
      <w:lvlText w:val=""/>
      <w:lvlJc w:val="left"/>
      <w:pPr>
        <w:ind w:left="6526" w:hanging="360"/>
      </w:pPr>
      <w:rPr>
        <w:rFonts w:ascii="Wingdings" w:hAnsi="Wingdings" w:hint="default"/>
      </w:rPr>
    </w:lvl>
  </w:abstractNum>
  <w:abstractNum w:abstractNumId="9">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571F45"/>
    <w:multiLevelType w:val="hybridMultilevel"/>
    <w:tmpl w:val="D9C86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1D4614"/>
    <w:multiLevelType w:val="hybridMultilevel"/>
    <w:tmpl w:val="C5A262F4"/>
    <w:lvl w:ilvl="0" w:tplc="8FCE36E8">
      <w:start w:val="1"/>
      <w:numFmt w:val="decimal"/>
      <w:lvlText w:val="(%1)"/>
      <w:lvlJc w:val="left"/>
      <w:pPr>
        <w:ind w:left="360" w:hanging="360"/>
      </w:pPr>
      <w:rPr>
        <w:rFonts w:hint="default"/>
      </w:rPr>
    </w:lvl>
    <w:lvl w:ilvl="1" w:tplc="08090005">
      <w:start w:val="1"/>
      <w:numFmt w:val="bullet"/>
      <w:lvlText w:val=""/>
      <w:lvlJc w:val="left"/>
      <w:pPr>
        <w:ind w:left="1080" w:hanging="360"/>
      </w:pPr>
      <w:rPr>
        <w:rFonts w:ascii="Wingdings" w:hAnsi="Wingding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4BD13B9"/>
    <w:multiLevelType w:val="hybridMultilevel"/>
    <w:tmpl w:val="2FC4B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ECF4144"/>
    <w:multiLevelType w:val="hybridMultilevel"/>
    <w:tmpl w:val="3FA87238"/>
    <w:lvl w:ilvl="0" w:tplc="8FCE36E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19"/>
  </w:num>
  <w:num w:numId="6">
    <w:abstractNumId w:val="9"/>
  </w:num>
  <w:num w:numId="7">
    <w:abstractNumId w:val="15"/>
  </w:num>
  <w:num w:numId="8">
    <w:abstractNumId w:val="10"/>
  </w:num>
  <w:num w:numId="9">
    <w:abstractNumId w:val="18"/>
  </w:num>
  <w:num w:numId="10">
    <w:abstractNumId w:val="5"/>
  </w:num>
  <w:num w:numId="11">
    <w:abstractNumId w:val="7"/>
  </w:num>
  <w:num w:numId="12">
    <w:abstractNumId w:val="11"/>
  </w:num>
  <w:num w:numId="13">
    <w:abstractNumId w:val="4"/>
  </w:num>
  <w:num w:numId="14">
    <w:abstractNumId w:val="6"/>
  </w:num>
  <w:num w:numId="15">
    <w:abstractNumId w:val="17"/>
  </w:num>
  <w:num w:numId="16">
    <w:abstractNumId w:val="16"/>
  </w:num>
  <w:num w:numId="17">
    <w:abstractNumId w:val="12"/>
  </w:num>
  <w:num w:numId="18">
    <w:abstractNumId w:val="14"/>
  </w:num>
  <w:num w:numId="19">
    <w:abstractNumId w:val="13"/>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37F41"/>
    <w:rsid w:val="000408BA"/>
    <w:rsid w:val="00041661"/>
    <w:rsid w:val="00053195"/>
    <w:rsid w:val="000558EF"/>
    <w:rsid w:val="0006293F"/>
    <w:rsid w:val="00070308"/>
    <w:rsid w:val="00080D3A"/>
    <w:rsid w:val="000823AA"/>
    <w:rsid w:val="00082743"/>
    <w:rsid w:val="000837C7"/>
    <w:rsid w:val="00083C96"/>
    <w:rsid w:val="000A172E"/>
    <w:rsid w:val="000A20E4"/>
    <w:rsid w:val="000B0DA8"/>
    <w:rsid w:val="000B65C7"/>
    <w:rsid w:val="000C015D"/>
    <w:rsid w:val="000D4ECD"/>
    <w:rsid w:val="000D5D39"/>
    <w:rsid w:val="000D7962"/>
    <w:rsid w:val="000E152A"/>
    <w:rsid w:val="000E2471"/>
    <w:rsid w:val="000E7941"/>
    <w:rsid w:val="000F3C8B"/>
    <w:rsid w:val="000F43E3"/>
    <w:rsid w:val="00100DC4"/>
    <w:rsid w:val="00101212"/>
    <w:rsid w:val="00101D5F"/>
    <w:rsid w:val="00105754"/>
    <w:rsid w:val="001174C2"/>
    <w:rsid w:val="00130EB9"/>
    <w:rsid w:val="0014379C"/>
    <w:rsid w:val="00153ED1"/>
    <w:rsid w:val="001600CD"/>
    <w:rsid w:val="001639BE"/>
    <w:rsid w:val="00163DB3"/>
    <w:rsid w:val="001711D3"/>
    <w:rsid w:val="00174B08"/>
    <w:rsid w:val="00185453"/>
    <w:rsid w:val="00185E8E"/>
    <w:rsid w:val="00193248"/>
    <w:rsid w:val="001B1858"/>
    <w:rsid w:val="001D0D1B"/>
    <w:rsid w:val="001D176B"/>
    <w:rsid w:val="001D1BD5"/>
    <w:rsid w:val="001D20B3"/>
    <w:rsid w:val="001E287E"/>
    <w:rsid w:val="001E2B1C"/>
    <w:rsid w:val="001E3BCF"/>
    <w:rsid w:val="001F189D"/>
    <w:rsid w:val="001F4B75"/>
    <w:rsid w:val="00217122"/>
    <w:rsid w:val="00217AE9"/>
    <w:rsid w:val="00225AA9"/>
    <w:rsid w:val="00230574"/>
    <w:rsid w:val="00231CFF"/>
    <w:rsid w:val="002329A2"/>
    <w:rsid w:val="002472D9"/>
    <w:rsid w:val="002509A2"/>
    <w:rsid w:val="0025138E"/>
    <w:rsid w:val="002521C9"/>
    <w:rsid w:val="00253D28"/>
    <w:rsid w:val="002711E6"/>
    <w:rsid w:val="00283AF6"/>
    <w:rsid w:val="002904C8"/>
    <w:rsid w:val="002B0567"/>
    <w:rsid w:val="002D549A"/>
    <w:rsid w:val="002E014D"/>
    <w:rsid w:val="002E093B"/>
    <w:rsid w:val="002E27A9"/>
    <w:rsid w:val="003006F2"/>
    <w:rsid w:val="003014E7"/>
    <w:rsid w:val="00303E94"/>
    <w:rsid w:val="00304151"/>
    <w:rsid w:val="00316235"/>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1A84"/>
    <w:rsid w:val="003E59BF"/>
    <w:rsid w:val="003E67E5"/>
    <w:rsid w:val="003F1C24"/>
    <w:rsid w:val="003F4DB1"/>
    <w:rsid w:val="003F547E"/>
    <w:rsid w:val="003F57CE"/>
    <w:rsid w:val="003F6B05"/>
    <w:rsid w:val="00401998"/>
    <w:rsid w:val="00427966"/>
    <w:rsid w:val="0044313F"/>
    <w:rsid w:val="00443265"/>
    <w:rsid w:val="00445D10"/>
    <w:rsid w:val="00446B25"/>
    <w:rsid w:val="004475F9"/>
    <w:rsid w:val="0045022C"/>
    <w:rsid w:val="00451986"/>
    <w:rsid w:val="00462051"/>
    <w:rsid w:val="00465900"/>
    <w:rsid w:val="00473145"/>
    <w:rsid w:val="004A02CE"/>
    <w:rsid w:val="004A168F"/>
    <w:rsid w:val="004A31AA"/>
    <w:rsid w:val="004B5A22"/>
    <w:rsid w:val="004C05F2"/>
    <w:rsid w:val="004E1F21"/>
    <w:rsid w:val="004F0578"/>
    <w:rsid w:val="004F0934"/>
    <w:rsid w:val="004F18C5"/>
    <w:rsid w:val="004F61D5"/>
    <w:rsid w:val="0050171A"/>
    <w:rsid w:val="0052302E"/>
    <w:rsid w:val="00523836"/>
    <w:rsid w:val="005246BE"/>
    <w:rsid w:val="005411C7"/>
    <w:rsid w:val="00555709"/>
    <w:rsid w:val="00560A9A"/>
    <w:rsid w:val="00563FFF"/>
    <w:rsid w:val="005677B8"/>
    <w:rsid w:val="00567F13"/>
    <w:rsid w:val="00573C83"/>
    <w:rsid w:val="00577861"/>
    <w:rsid w:val="00577BCC"/>
    <w:rsid w:val="005810CA"/>
    <w:rsid w:val="00594A5F"/>
    <w:rsid w:val="005960E2"/>
    <w:rsid w:val="00596453"/>
    <w:rsid w:val="005A1AA5"/>
    <w:rsid w:val="005A7F37"/>
    <w:rsid w:val="005B4CAC"/>
    <w:rsid w:val="005B602E"/>
    <w:rsid w:val="005C4C5F"/>
    <w:rsid w:val="005D06FE"/>
    <w:rsid w:val="005E1210"/>
    <w:rsid w:val="005E3784"/>
    <w:rsid w:val="005E46E4"/>
    <w:rsid w:val="005F05DB"/>
    <w:rsid w:val="005F23A9"/>
    <w:rsid w:val="005F2E6B"/>
    <w:rsid w:val="006043A9"/>
    <w:rsid w:val="00610B1B"/>
    <w:rsid w:val="00610F9A"/>
    <w:rsid w:val="00631A43"/>
    <w:rsid w:val="00632A59"/>
    <w:rsid w:val="0063312E"/>
    <w:rsid w:val="00633B0A"/>
    <w:rsid w:val="006643DC"/>
    <w:rsid w:val="006A02BC"/>
    <w:rsid w:val="006A7B96"/>
    <w:rsid w:val="006B20DC"/>
    <w:rsid w:val="006D4A37"/>
    <w:rsid w:val="006D55C6"/>
    <w:rsid w:val="006E33C1"/>
    <w:rsid w:val="007039C1"/>
    <w:rsid w:val="00706604"/>
    <w:rsid w:val="007118C4"/>
    <w:rsid w:val="00723DE0"/>
    <w:rsid w:val="00732595"/>
    <w:rsid w:val="0074349F"/>
    <w:rsid w:val="0075466C"/>
    <w:rsid w:val="00754A60"/>
    <w:rsid w:val="00757B96"/>
    <w:rsid w:val="00774921"/>
    <w:rsid w:val="00776822"/>
    <w:rsid w:val="00780877"/>
    <w:rsid w:val="00783891"/>
    <w:rsid w:val="007949EA"/>
    <w:rsid w:val="007A4CCC"/>
    <w:rsid w:val="007A6E0D"/>
    <w:rsid w:val="007B3927"/>
    <w:rsid w:val="007C7AB4"/>
    <w:rsid w:val="007C7CD2"/>
    <w:rsid w:val="007D69B5"/>
    <w:rsid w:val="007D6A9F"/>
    <w:rsid w:val="007E4BDD"/>
    <w:rsid w:val="007E506D"/>
    <w:rsid w:val="007E5373"/>
    <w:rsid w:val="007E64D9"/>
    <w:rsid w:val="007F3E23"/>
    <w:rsid w:val="007F6A8C"/>
    <w:rsid w:val="00801493"/>
    <w:rsid w:val="008050F5"/>
    <w:rsid w:val="00806571"/>
    <w:rsid w:val="0081068B"/>
    <w:rsid w:val="00811DCF"/>
    <w:rsid w:val="00812324"/>
    <w:rsid w:val="00814D4C"/>
    <w:rsid w:val="008265E8"/>
    <w:rsid w:val="008270CD"/>
    <w:rsid w:val="008270DF"/>
    <w:rsid w:val="0084123C"/>
    <w:rsid w:val="008438AF"/>
    <w:rsid w:val="00843FE8"/>
    <w:rsid w:val="00846915"/>
    <w:rsid w:val="00854FA6"/>
    <w:rsid w:val="0085530C"/>
    <w:rsid w:val="00861DA2"/>
    <w:rsid w:val="0086406A"/>
    <w:rsid w:val="008656A6"/>
    <w:rsid w:val="00865C2F"/>
    <w:rsid w:val="0086676E"/>
    <w:rsid w:val="00875210"/>
    <w:rsid w:val="008869D6"/>
    <w:rsid w:val="008A7F65"/>
    <w:rsid w:val="008C293C"/>
    <w:rsid w:val="008D4572"/>
    <w:rsid w:val="008D7AB7"/>
    <w:rsid w:val="008F5C90"/>
    <w:rsid w:val="00906C6A"/>
    <w:rsid w:val="00913AAA"/>
    <w:rsid w:val="00914273"/>
    <w:rsid w:val="00916A80"/>
    <w:rsid w:val="009279BF"/>
    <w:rsid w:val="00937D26"/>
    <w:rsid w:val="00951C86"/>
    <w:rsid w:val="00956D7A"/>
    <w:rsid w:val="00965199"/>
    <w:rsid w:val="00966046"/>
    <w:rsid w:val="009770EE"/>
    <w:rsid w:val="00993AAE"/>
    <w:rsid w:val="009C1445"/>
    <w:rsid w:val="00A06929"/>
    <w:rsid w:val="00A10221"/>
    <w:rsid w:val="00A20CDB"/>
    <w:rsid w:val="00A21B8D"/>
    <w:rsid w:val="00A22F1A"/>
    <w:rsid w:val="00A25B84"/>
    <w:rsid w:val="00A33B5E"/>
    <w:rsid w:val="00A46877"/>
    <w:rsid w:val="00A47C6F"/>
    <w:rsid w:val="00A5492F"/>
    <w:rsid w:val="00A60DC3"/>
    <w:rsid w:val="00A60E56"/>
    <w:rsid w:val="00A91F56"/>
    <w:rsid w:val="00A9539C"/>
    <w:rsid w:val="00AA5E76"/>
    <w:rsid w:val="00AA6C55"/>
    <w:rsid w:val="00AB7E57"/>
    <w:rsid w:val="00AC23F5"/>
    <w:rsid w:val="00AD7CD5"/>
    <w:rsid w:val="00AE0A90"/>
    <w:rsid w:val="00AE4D14"/>
    <w:rsid w:val="00AF09E1"/>
    <w:rsid w:val="00AF2397"/>
    <w:rsid w:val="00AF2EBF"/>
    <w:rsid w:val="00B01132"/>
    <w:rsid w:val="00B06CA8"/>
    <w:rsid w:val="00B21761"/>
    <w:rsid w:val="00B21FA3"/>
    <w:rsid w:val="00B307A7"/>
    <w:rsid w:val="00B30D86"/>
    <w:rsid w:val="00B44DEE"/>
    <w:rsid w:val="00B45490"/>
    <w:rsid w:val="00B5520C"/>
    <w:rsid w:val="00B56D8A"/>
    <w:rsid w:val="00B65C66"/>
    <w:rsid w:val="00B70B84"/>
    <w:rsid w:val="00B74106"/>
    <w:rsid w:val="00B74C6C"/>
    <w:rsid w:val="00B8336E"/>
    <w:rsid w:val="00B865DB"/>
    <w:rsid w:val="00B921E0"/>
    <w:rsid w:val="00B96231"/>
    <w:rsid w:val="00BA1600"/>
    <w:rsid w:val="00BA611B"/>
    <w:rsid w:val="00BB7F97"/>
    <w:rsid w:val="00BC4D68"/>
    <w:rsid w:val="00BC6D26"/>
    <w:rsid w:val="00BD6786"/>
    <w:rsid w:val="00C06496"/>
    <w:rsid w:val="00C122AE"/>
    <w:rsid w:val="00C17665"/>
    <w:rsid w:val="00C32DF8"/>
    <w:rsid w:val="00C40729"/>
    <w:rsid w:val="00C41DDB"/>
    <w:rsid w:val="00C46C5A"/>
    <w:rsid w:val="00C52ABE"/>
    <w:rsid w:val="00C656B1"/>
    <w:rsid w:val="00C739EF"/>
    <w:rsid w:val="00C90AF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3EB7"/>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070EA"/>
    <w:rsid w:val="00E1002C"/>
    <w:rsid w:val="00E11D29"/>
    <w:rsid w:val="00E1588B"/>
    <w:rsid w:val="00E256FC"/>
    <w:rsid w:val="00E3221E"/>
    <w:rsid w:val="00E37E77"/>
    <w:rsid w:val="00E5111B"/>
    <w:rsid w:val="00E67D1B"/>
    <w:rsid w:val="00E71603"/>
    <w:rsid w:val="00E71797"/>
    <w:rsid w:val="00E74C04"/>
    <w:rsid w:val="00E7537D"/>
    <w:rsid w:val="00E845AB"/>
    <w:rsid w:val="00E8579D"/>
    <w:rsid w:val="00E928F1"/>
    <w:rsid w:val="00E94521"/>
    <w:rsid w:val="00E976C5"/>
    <w:rsid w:val="00EA0A58"/>
    <w:rsid w:val="00EA246B"/>
    <w:rsid w:val="00EA3454"/>
    <w:rsid w:val="00EB2786"/>
    <w:rsid w:val="00EB3F4B"/>
    <w:rsid w:val="00EB589C"/>
    <w:rsid w:val="00EB6791"/>
    <w:rsid w:val="00EC35A4"/>
    <w:rsid w:val="00EC4454"/>
    <w:rsid w:val="00ED1FC8"/>
    <w:rsid w:val="00ED43BB"/>
    <w:rsid w:val="00EF1E93"/>
    <w:rsid w:val="00EF3F75"/>
    <w:rsid w:val="00EF6661"/>
    <w:rsid w:val="00F25441"/>
    <w:rsid w:val="00F260BE"/>
    <w:rsid w:val="00F33643"/>
    <w:rsid w:val="00F34C66"/>
    <w:rsid w:val="00F35245"/>
    <w:rsid w:val="00F3743B"/>
    <w:rsid w:val="00F45126"/>
    <w:rsid w:val="00F521A4"/>
    <w:rsid w:val="00F52C18"/>
    <w:rsid w:val="00F56866"/>
    <w:rsid w:val="00F62A6F"/>
    <w:rsid w:val="00F6410E"/>
    <w:rsid w:val="00F74EB6"/>
    <w:rsid w:val="00F8432C"/>
    <w:rsid w:val="00F91D83"/>
    <w:rsid w:val="00F91F93"/>
    <w:rsid w:val="00F93A64"/>
    <w:rsid w:val="00F94A2A"/>
    <w:rsid w:val="00FA112C"/>
    <w:rsid w:val="00FA2054"/>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90AFE"/>
    <w:rPr>
      <w:color w:val="800080"/>
      <w:u w:val="single"/>
    </w:rPr>
  </w:style>
  <w:style w:type="paragraph" w:styleId="ListParagraph">
    <w:name w:val="List Paragraph"/>
    <w:basedOn w:val="Normal"/>
    <w:uiPriority w:val="34"/>
    <w:qFormat/>
    <w:rsid w:val="006E33C1"/>
    <w:pPr>
      <w:spacing w:before="0"/>
      <w:ind w:left="720"/>
    </w:pPr>
    <w:rPr>
      <w:rFonts w:eastAsia="Calibri"/>
      <w:szCs w:val="24"/>
      <w:lang w:val="en-GB" w:eastAsia="en-GB"/>
    </w:rPr>
  </w:style>
  <w:style w:type="paragraph" w:styleId="NormalWeb">
    <w:name w:val="Normal (Web)"/>
    <w:basedOn w:val="Normal"/>
    <w:uiPriority w:val="99"/>
    <w:unhideWhenUsed/>
    <w:rsid w:val="001F4B75"/>
    <w:pPr>
      <w:spacing w:before="0" w:after="150"/>
    </w:pPr>
    <w:rPr>
      <w:rFonts w:eastAsia="Times New Roman"/>
      <w:szCs w:val="24"/>
      <w:lang w:val="en-GB" w:eastAsia="en-GB"/>
    </w:rPr>
  </w:style>
  <w:style w:type="character" w:customStyle="1" w:styleId="email3">
    <w:name w:val="email3"/>
    <w:basedOn w:val="DefaultParagraphFont"/>
    <w:rsid w:val="004C05F2"/>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90AFE"/>
    <w:rPr>
      <w:color w:val="800080"/>
      <w:u w:val="single"/>
    </w:rPr>
  </w:style>
  <w:style w:type="paragraph" w:styleId="ListParagraph">
    <w:name w:val="List Paragraph"/>
    <w:basedOn w:val="Normal"/>
    <w:uiPriority w:val="34"/>
    <w:qFormat/>
    <w:rsid w:val="006E33C1"/>
    <w:pPr>
      <w:spacing w:before="0"/>
      <w:ind w:left="720"/>
    </w:pPr>
    <w:rPr>
      <w:rFonts w:eastAsia="Calibri"/>
      <w:szCs w:val="24"/>
      <w:lang w:val="en-GB" w:eastAsia="en-GB"/>
    </w:rPr>
  </w:style>
  <w:style w:type="paragraph" w:styleId="NormalWeb">
    <w:name w:val="Normal (Web)"/>
    <w:basedOn w:val="Normal"/>
    <w:uiPriority w:val="99"/>
    <w:unhideWhenUsed/>
    <w:rsid w:val="001F4B75"/>
    <w:pPr>
      <w:spacing w:before="0" w:after="150"/>
    </w:pPr>
    <w:rPr>
      <w:rFonts w:eastAsia="Times New Roman"/>
      <w:szCs w:val="24"/>
      <w:lang w:val="en-GB" w:eastAsia="en-GB"/>
    </w:rPr>
  </w:style>
  <w:style w:type="character" w:customStyle="1" w:styleId="email3">
    <w:name w:val="email3"/>
    <w:basedOn w:val="DefaultParagraphFont"/>
    <w:rsid w:val="004C05F2"/>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61360">
      <w:bodyDiv w:val="1"/>
      <w:marLeft w:val="0"/>
      <w:marRight w:val="0"/>
      <w:marTop w:val="0"/>
      <w:marBottom w:val="0"/>
      <w:divBdr>
        <w:top w:val="none" w:sz="0" w:space="0" w:color="auto"/>
        <w:left w:val="none" w:sz="0" w:space="0" w:color="auto"/>
        <w:bottom w:val="none" w:sz="0" w:space="0" w:color="auto"/>
        <w:right w:val="none" w:sz="0" w:space="0" w:color="auto"/>
      </w:divBdr>
    </w:div>
    <w:div w:id="753672814">
      <w:bodyDiv w:val="1"/>
      <w:marLeft w:val="0"/>
      <w:marRight w:val="0"/>
      <w:marTop w:val="0"/>
      <w:marBottom w:val="0"/>
      <w:divBdr>
        <w:top w:val="none" w:sz="0" w:space="0" w:color="auto"/>
        <w:left w:val="none" w:sz="0" w:space="0" w:color="auto"/>
        <w:bottom w:val="none" w:sz="0" w:space="0" w:color="auto"/>
        <w:right w:val="none" w:sz="0" w:space="0" w:color="auto"/>
      </w:divBdr>
    </w:div>
    <w:div w:id="783379505">
      <w:bodyDiv w:val="1"/>
      <w:marLeft w:val="0"/>
      <w:marRight w:val="0"/>
      <w:marTop w:val="0"/>
      <w:marBottom w:val="0"/>
      <w:divBdr>
        <w:top w:val="none" w:sz="0" w:space="0" w:color="auto"/>
        <w:left w:val="none" w:sz="0" w:space="0" w:color="auto"/>
        <w:bottom w:val="none" w:sz="0" w:space="0" w:color="auto"/>
        <w:right w:val="none" w:sz="0" w:space="0" w:color="auto"/>
      </w:divBdr>
    </w:div>
    <w:div w:id="866409869">
      <w:bodyDiv w:val="1"/>
      <w:marLeft w:val="0"/>
      <w:marRight w:val="0"/>
      <w:marTop w:val="0"/>
      <w:marBottom w:val="0"/>
      <w:divBdr>
        <w:top w:val="none" w:sz="0" w:space="0" w:color="auto"/>
        <w:left w:val="none" w:sz="0" w:space="0" w:color="auto"/>
        <w:bottom w:val="none" w:sz="0" w:space="0" w:color="auto"/>
        <w:right w:val="none" w:sz="0" w:space="0" w:color="auto"/>
      </w:divBdr>
    </w:div>
    <w:div w:id="1049184721">
      <w:bodyDiv w:val="1"/>
      <w:marLeft w:val="0"/>
      <w:marRight w:val="0"/>
      <w:marTop w:val="0"/>
      <w:marBottom w:val="0"/>
      <w:divBdr>
        <w:top w:val="none" w:sz="0" w:space="0" w:color="auto"/>
        <w:left w:val="none" w:sz="0" w:space="0" w:color="auto"/>
        <w:bottom w:val="none" w:sz="0" w:space="0" w:color="auto"/>
        <w:right w:val="none" w:sz="0" w:space="0" w:color="auto"/>
      </w:divBdr>
    </w:div>
    <w:div w:id="1351494240">
      <w:bodyDiv w:val="1"/>
      <w:marLeft w:val="0"/>
      <w:marRight w:val="0"/>
      <w:marTop w:val="0"/>
      <w:marBottom w:val="0"/>
      <w:divBdr>
        <w:top w:val="none" w:sz="0" w:space="0" w:color="auto"/>
        <w:left w:val="none" w:sz="0" w:space="0" w:color="auto"/>
        <w:bottom w:val="none" w:sz="0" w:space="0" w:color="auto"/>
        <w:right w:val="none" w:sz="0" w:space="0" w:color="auto"/>
      </w:divBdr>
    </w:div>
    <w:div w:id="1358771648">
      <w:bodyDiv w:val="1"/>
      <w:marLeft w:val="0"/>
      <w:marRight w:val="0"/>
      <w:marTop w:val="0"/>
      <w:marBottom w:val="0"/>
      <w:divBdr>
        <w:top w:val="none" w:sz="0" w:space="0" w:color="auto"/>
        <w:left w:val="none" w:sz="0" w:space="0" w:color="auto"/>
        <w:bottom w:val="none" w:sz="0" w:space="0" w:color="auto"/>
        <w:right w:val="none" w:sz="0" w:space="0" w:color="auto"/>
      </w:divBdr>
    </w:div>
    <w:div w:id="1408769100">
      <w:bodyDiv w:val="1"/>
      <w:marLeft w:val="0"/>
      <w:marRight w:val="0"/>
      <w:marTop w:val="0"/>
      <w:marBottom w:val="0"/>
      <w:divBdr>
        <w:top w:val="none" w:sz="0" w:space="0" w:color="auto"/>
        <w:left w:val="none" w:sz="0" w:space="0" w:color="auto"/>
        <w:bottom w:val="none" w:sz="0" w:space="0" w:color="auto"/>
        <w:right w:val="none" w:sz="0" w:space="0" w:color="auto"/>
      </w:divBdr>
    </w:div>
    <w:div w:id="1427533682">
      <w:bodyDiv w:val="1"/>
      <w:marLeft w:val="0"/>
      <w:marRight w:val="0"/>
      <w:marTop w:val="0"/>
      <w:marBottom w:val="0"/>
      <w:divBdr>
        <w:top w:val="none" w:sz="0" w:space="0" w:color="auto"/>
        <w:left w:val="none" w:sz="0" w:space="0" w:color="auto"/>
        <w:bottom w:val="none" w:sz="0" w:space="0" w:color="auto"/>
        <w:right w:val="none" w:sz="0" w:space="0" w:color="auto"/>
      </w:divBdr>
    </w:div>
    <w:div w:id="1547375767">
      <w:bodyDiv w:val="1"/>
      <w:marLeft w:val="0"/>
      <w:marRight w:val="0"/>
      <w:marTop w:val="0"/>
      <w:marBottom w:val="0"/>
      <w:divBdr>
        <w:top w:val="none" w:sz="0" w:space="0" w:color="auto"/>
        <w:left w:val="none" w:sz="0" w:space="0" w:color="auto"/>
        <w:bottom w:val="none" w:sz="0" w:space="0" w:color="auto"/>
        <w:right w:val="none" w:sz="0" w:space="0" w:color="auto"/>
      </w:divBdr>
    </w:div>
    <w:div w:id="1571230832">
      <w:bodyDiv w:val="1"/>
      <w:marLeft w:val="0"/>
      <w:marRight w:val="0"/>
      <w:marTop w:val="0"/>
      <w:marBottom w:val="0"/>
      <w:divBdr>
        <w:top w:val="none" w:sz="0" w:space="0" w:color="auto"/>
        <w:left w:val="none" w:sz="0" w:space="0" w:color="auto"/>
        <w:bottom w:val="none" w:sz="0" w:space="0" w:color="auto"/>
        <w:right w:val="none" w:sz="0" w:space="0" w:color="auto"/>
      </w:divBdr>
    </w:div>
    <w:div w:id="1593395708">
      <w:bodyDiv w:val="1"/>
      <w:marLeft w:val="0"/>
      <w:marRight w:val="0"/>
      <w:marTop w:val="0"/>
      <w:marBottom w:val="0"/>
      <w:divBdr>
        <w:top w:val="none" w:sz="0" w:space="0" w:color="auto"/>
        <w:left w:val="none" w:sz="0" w:space="0" w:color="auto"/>
        <w:bottom w:val="none" w:sz="0" w:space="0" w:color="auto"/>
        <w:right w:val="none" w:sz="0" w:space="0" w:color="auto"/>
      </w:divBdr>
    </w:div>
    <w:div w:id="1635404878">
      <w:bodyDiv w:val="1"/>
      <w:marLeft w:val="0"/>
      <w:marRight w:val="0"/>
      <w:marTop w:val="0"/>
      <w:marBottom w:val="0"/>
      <w:divBdr>
        <w:top w:val="none" w:sz="0" w:space="0" w:color="auto"/>
        <w:left w:val="none" w:sz="0" w:space="0" w:color="auto"/>
        <w:bottom w:val="none" w:sz="0" w:space="0" w:color="auto"/>
        <w:right w:val="none" w:sz="0" w:space="0" w:color="auto"/>
      </w:divBdr>
    </w:div>
    <w:div w:id="1656294519">
      <w:bodyDiv w:val="1"/>
      <w:marLeft w:val="0"/>
      <w:marRight w:val="0"/>
      <w:marTop w:val="0"/>
      <w:marBottom w:val="0"/>
      <w:divBdr>
        <w:top w:val="none" w:sz="0" w:space="0" w:color="auto"/>
        <w:left w:val="none" w:sz="0" w:space="0" w:color="auto"/>
        <w:bottom w:val="none" w:sz="0" w:space="0" w:color="auto"/>
        <w:right w:val="none" w:sz="0" w:space="0" w:color="auto"/>
      </w:divBdr>
    </w:div>
    <w:div w:id="1722513130">
      <w:bodyDiv w:val="1"/>
      <w:marLeft w:val="0"/>
      <w:marRight w:val="0"/>
      <w:marTop w:val="0"/>
      <w:marBottom w:val="0"/>
      <w:divBdr>
        <w:top w:val="none" w:sz="0" w:space="0" w:color="auto"/>
        <w:left w:val="none" w:sz="0" w:space="0" w:color="auto"/>
        <w:bottom w:val="none" w:sz="0" w:space="0" w:color="auto"/>
        <w:right w:val="none" w:sz="0" w:space="0" w:color="auto"/>
      </w:divBdr>
    </w:div>
    <w:div w:id="2010718588">
      <w:bodyDiv w:val="1"/>
      <w:marLeft w:val="0"/>
      <w:marRight w:val="0"/>
      <w:marTop w:val="0"/>
      <w:marBottom w:val="0"/>
      <w:divBdr>
        <w:top w:val="none" w:sz="0" w:space="0" w:color="auto"/>
        <w:left w:val="none" w:sz="0" w:space="0" w:color="auto"/>
        <w:bottom w:val="none" w:sz="0" w:space="0" w:color="auto"/>
        <w:right w:val="none" w:sz="0" w:space="0" w:color="auto"/>
      </w:divBdr>
    </w:div>
    <w:div w:id="2022512599">
      <w:bodyDiv w:val="1"/>
      <w:marLeft w:val="0"/>
      <w:marRight w:val="0"/>
      <w:marTop w:val="0"/>
      <w:marBottom w:val="0"/>
      <w:divBdr>
        <w:top w:val="none" w:sz="0" w:space="0" w:color="auto"/>
        <w:left w:val="none" w:sz="0" w:space="0" w:color="auto"/>
        <w:bottom w:val="none" w:sz="0" w:space="0" w:color="auto"/>
        <w:right w:val="none" w:sz="0" w:space="0" w:color="auto"/>
      </w:divBdr>
    </w:div>
    <w:div w:id="210673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so20022.org/documents/messages/auth/schemas/auth.012.001.01.zip"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rob.harris@bankofengland.gsi.gov.uk" TargetMode="External"/><Relationship Id="rId17" Type="http://schemas.openxmlformats.org/officeDocument/2006/relationships/hyperlink" Target="https://www.iso20022.org/documents/messages/auth/schemas/auth.028.001.01.zip"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iso20022.org/documents/messages/auth/schemas/auth.015.001.01.zip" TargetMode="External"/><Relationship Id="rId20" Type="http://schemas.openxmlformats.org/officeDocument/2006/relationships/package" Target="embeddings/Microsoft_PowerPoint_Slide1.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mma.agostoni@ecb.europa.e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iso20022.org/documents/messages/auth/schemas/auth.014.001.01.zip"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ronald.ruehmkorf@ecb.europa.eu"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mailto:josep_maria.puigvert@ecb.europa.eu" TargetMode="External"/><Relationship Id="rId14" Type="http://schemas.openxmlformats.org/officeDocument/2006/relationships/hyperlink" Target="https://www.iso20022.org/documents/messages/auth/schemas/auth.013.001.01.zip"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EC200-2CC0-4A28-9B24-1EF52019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1525</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11204</CharactersWithSpaces>
  <SharedDoc>false</SharedDoc>
  <HLinks>
    <vt:vector size="78" baseType="variant">
      <vt:variant>
        <vt:i4>5963776</vt:i4>
      </vt:variant>
      <vt:variant>
        <vt:i4>36</vt:i4>
      </vt:variant>
      <vt:variant>
        <vt:i4>0</vt:i4>
      </vt:variant>
      <vt:variant>
        <vt:i4>5</vt:i4>
      </vt:variant>
      <vt:variant>
        <vt:lpwstr>https://www.iso20022.org/documents/messages/auth/schemas/auth.028.001.01.zip</vt:lpwstr>
      </vt:variant>
      <vt:variant>
        <vt:lpwstr/>
      </vt:variant>
      <vt:variant>
        <vt:i4>5767181</vt:i4>
      </vt:variant>
      <vt:variant>
        <vt:i4>33</vt:i4>
      </vt:variant>
      <vt:variant>
        <vt:i4>0</vt:i4>
      </vt:variant>
      <vt:variant>
        <vt:i4>5</vt:i4>
      </vt:variant>
      <vt:variant>
        <vt:lpwstr>https://www.iso20022.org/documents/messages/auth/schemas/auth.015.001.01.zip</vt:lpwstr>
      </vt:variant>
      <vt:variant>
        <vt:lpwstr/>
      </vt:variant>
      <vt:variant>
        <vt:i4>5767180</vt:i4>
      </vt:variant>
      <vt:variant>
        <vt:i4>30</vt:i4>
      </vt:variant>
      <vt:variant>
        <vt:i4>0</vt:i4>
      </vt:variant>
      <vt:variant>
        <vt:i4>5</vt:i4>
      </vt:variant>
      <vt:variant>
        <vt:lpwstr>https://www.iso20022.org/documents/messages/auth/schemas/auth.014.001.01.zip</vt:lpwstr>
      </vt:variant>
      <vt:variant>
        <vt:lpwstr/>
      </vt:variant>
      <vt:variant>
        <vt:i4>5767179</vt:i4>
      </vt:variant>
      <vt:variant>
        <vt:i4>27</vt:i4>
      </vt:variant>
      <vt:variant>
        <vt:i4>0</vt:i4>
      </vt:variant>
      <vt:variant>
        <vt:i4>5</vt:i4>
      </vt:variant>
      <vt:variant>
        <vt:lpwstr>https://www.iso20022.org/documents/messages/auth/schemas/auth.013.001.01.zip</vt:lpwstr>
      </vt:variant>
      <vt:variant>
        <vt:lpwstr/>
      </vt:variant>
      <vt:variant>
        <vt:i4>5767178</vt:i4>
      </vt:variant>
      <vt:variant>
        <vt:i4>24</vt:i4>
      </vt:variant>
      <vt:variant>
        <vt:i4>0</vt:i4>
      </vt:variant>
      <vt:variant>
        <vt:i4>5</vt:i4>
      </vt:variant>
      <vt:variant>
        <vt:lpwstr>https://www.iso20022.org/documents/messages/auth/schemas/auth.012.001.01.zip</vt:lpwstr>
      </vt:variant>
      <vt:variant>
        <vt:lpwstr/>
      </vt:variant>
      <vt:variant>
        <vt:i4>1572965</vt:i4>
      </vt:variant>
      <vt:variant>
        <vt:i4>21</vt:i4>
      </vt:variant>
      <vt:variant>
        <vt:i4>0</vt:i4>
      </vt:variant>
      <vt:variant>
        <vt:i4>5</vt:i4>
      </vt:variant>
      <vt:variant>
        <vt:lpwstr>mailto:rob.harris@bankofengland.gsi.gov.uk</vt:lpwstr>
      </vt:variant>
      <vt:variant>
        <vt:lpwstr/>
      </vt:variant>
      <vt:variant>
        <vt:i4>2818077</vt:i4>
      </vt:variant>
      <vt:variant>
        <vt:i4>18</vt:i4>
      </vt:variant>
      <vt:variant>
        <vt:i4>0</vt:i4>
      </vt:variant>
      <vt:variant>
        <vt:i4>5</vt:i4>
      </vt:variant>
      <vt:variant>
        <vt:lpwstr>mailto:ronald.ruehmkorf@ecb.europa.eu</vt:lpwstr>
      </vt:variant>
      <vt:variant>
        <vt:lpwstr/>
      </vt:variant>
      <vt:variant>
        <vt:i4>8061044</vt:i4>
      </vt:variant>
      <vt:variant>
        <vt:i4>15</vt:i4>
      </vt:variant>
      <vt:variant>
        <vt:i4>0</vt:i4>
      </vt:variant>
      <vt:variant>
        <vt:i4>5</vt:i4>
      </vt:variant>
      <vt:variant>
        <vt:lpwstr>mailto:josep_maria.puigvert@ecb.europa.eu</vt:lpwstr>
      </vt:variant>
      <vt:variant>
        <vt:lpwstr/>
      </vt:variant>
      <vt:variant>
        <vt:i4>1572965</vt:i4>
      </vt:variant>
      <vt:variant>
        <vt:i4>12</vt:i4>
      </vt:variant>
      <vt:variant>
        <vt:i4>0</vt:i4>
      </vt:variant>
      <vt:variant>
        <vt:i4>5</vt:i4>
      </vt:variant>
      <vt:variant>
        <vt:lpwstr>mailto:rob.harris@bankofengland.gsi.gov.uk</vt:lpwstr>
      </vt:variant>
      <vt:variant>
        <vt:lpwstr/>
      </vt:variant>
      <vt:variant>
        <vt:i4>2818077</vt:i4>
      </vt:variant>
      <vt:variant>
        <vt:i4>9</vt:i4>
      </vt:variant>
      <vt:variant>
        <vt:i4>0</vt:i4>
      </vt:variant>
      <vt:variant>
        <vt:i4>5</vt:i4>
      </vt:variant>
      <vt:variant>
        <vt:lpwstr>mailto:ronald.ruehmkorf@ecb.europa.eu</vt:lpwstr>
      </vt:variant>
      <vt:variant>
        <vt:lpwstr/>
      </vt:variant>
      <vt:variant>
        <vt:i4>8061044</vt:i4>
      </vt:variant>
      <vt:variant>
        <vt:i4>6</vt:i4>
      </vt:variant>
      <vt:variant>
        <vt:i4>0</vt:i4>
      </vt:variant>
      <vt:variant>
        <vt:i4>5</vt:i4>
      </vt:variant>
      <vt:variant>
        <vt:lpwstr>mailto:josep_maria.puigvert@ecb.europa.eu</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ISO 20022 RA</cp:lastModifiedBy>
  <cp:revision>3</cp:revision>
  <cp:lastPrinted>2009-03-10T11:18:00Z</cp:lastPrinted>
  <dcterms:created xsi:type="dcterms:W3CDTF">2016-12-13T15:08:00Z</dcterms:created>
  <dcterms:modified xsi:type="dcterms:W3CDTF">2016-12-13T15:10:00Z</dcterms:modified>
</cp:coreProperties>
</file>