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085977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AB1EB3" w:rsidRPr="009002AC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50"/>
        <w:gridCol w:w="1530"/>
        <w:gridCol w:w="270"/>
        <w:gridCol w:w="450"/>
        <w:gridCol w:w="2970"/>
        <w:gridCol w:w="1440"/>
      </w:tblGrid>
      <w:tr w:rsidR="00E564EF" w:rsidRPr="00DD2768" w:rsidTr="00194E77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E564EF" w:rsidRPr="00DD2768" w:rsidRDefault="00E564EF" w:rsidP="00194E77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E564EF" w:rsidRPr="00DD2768" w:rsidRDefault="00E564EF" w:rsidP="00194E77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E564EF" w:rsidRPr="00DD2768" w:rsidRDefault="00E564EF" w:rsidP="00194E77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64EF" w:rsidRPr="00DD2768" w:rsidRDefault="00E564EF" w:rsidP="00194E77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E564EF" w:rsidRPr="00DD2768" w:rsidRDefault="00E564EF" w:rsidP="00194E77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:rsidR="00E564EF" w:rsidRPr="00DD2768" w:rsidRDefault="00E564EF" w:rsidP="00194E77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564EF" w:rsidRPr="00DD2768" w:rsidRDefault="00E564EF" w:rsidP="00194E77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2B710D" w:rsidRPr="00744584" w:rsidTr="00194E77">
        <w:tc>
          <w:tcPr>
            <w:tcW w:w="450" w:type="dxa"/>
          </w:tcPr>
          <w:p w:rsidR="002B710D" w:rsidRPr="00744584" w:rsidRDefault="002B710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2B710D" w:rsidRPr="00744584" w:rsidRDefault="002B710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530" w:type="dxa"/>
            <w:shd w:val="clear" w:color="auto" w:fill="auto"/>
          </w:tcPr>
          <w:p w:rsidR="002B710D" w:rsidRPr="00744584" w:rsidRDefault="002B710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B710D" w:rsidRPr="00744584" w:rsidRDefault="002B710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B710D" w:rsidRPr="00744584" w:rsidRDefault="002B710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2B710D" w:rsidRPr="00744584" w:rsidRDefault="002B710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Order Instruction Status Report</w:t>
            </w:r>
          </w:p>
        </w:tc>
        <w:tc>
          <w:tcPr>
            <w:tcW w:w="1440" w:type="dxa"/>
          </w:tcPr>
          <w:p w:rsidR="002B710D" w:rsidRPr="00744584" w:rsidRDefault="002B710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setr.016.001.03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setr.049.001.01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setr.050.001.01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setr.053.001.01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setr.054.001.01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Confirmation Cancellation Instruction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setr.055.001.01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Confirmation Amendment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setr.056.001.01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2050A8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Order Confirmation Status Report</w:t>
            </w:r>
          </w:p>
        </w:tc>
        <w:tc>
          <w:tcPr>
            <w:tcW w:w="1440" w:type="dxa"/>
          </w:tcPr>
          <w:p w:rsidR="00DA147D" w:rsidRPr="00744584" w:rsidRDefault="00DA147D" w:rsidP="002050A8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setr.057.001.01</w:t>
            </w: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Cancellation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</w:tr>
      <w:tr w:rsidR="00DA147D" w:rsidRPr="00744584" w:rsidTr="00194E77"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Confirmation</w:t>
            </w:r>
          </w:p>
        </w:tc>
        <w:tc>
          <w:tcPr>
            <w:tcW w:w="1530" w:type="dxa"/>
            <w:shd w:val="clear" w:color="auto" w:fill="auto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A147D" w:rsidRPr="00744584" w:rsidRDefault="00DA147D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A147D" w:rsidRPr="00744584" w:rsidRDefault="00DA147D" w:rsidP="00194E77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</w:tcPr>
          <w:p w:rsidR="00DA147D" w:rsidRPr="00744584" w:rsidRDefault="00DA147D" w:rsidP="00194E77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</w:tr>
    </w:tbl>
    <w:p w:rsidR="000B500C" w:rsidRPr="000B500C" w:rsidRDefault="00E564EF" w:rsidP="000B500C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0B500C" w:rsidRDefault="000B500C" w:rsidP="000B500C">
      <w:pPr>
        <w:pStyle w:val="Headingnew1"/>
        <w:ind w:left="0" w:firstLine="0"/>
        <w:rPr>
          <w:b w:val="0"/>
        </w:rPr>
      </w:pPr>
      <w:r w:rsidRPr="008D762B">
        <w:rPr>
          <w:b w:val="0"/>
        </w:rPr>
        <w:t>In the 2016 maintenance, in the funds transfer (</w:t>
      </w:r>
      <w:proofErr w:type="spellStart"/>
      <w:r w:rsidRPr="008D762B">
        <w:rPr>
          <w:b w:val="0"/>
        </w:rPr>
        <w:t>sese</w:t>
      </w:r>
      <w:proofErr w:type="spellEnd"/>
      <w:r w:rsidRPr="008D762B">
        <w:rPr>
          <w:b w:val="0"/>
        </w:rPr>
        <w:t xml:space="preserve">) messages, an additional intermediary was added to the chain, ‘Receivers Intermediary 2’ (and Receivers Intermediary was renamed to Receivers Intermediary 1). </w:t>
      </w:r>
      <w:r>
        <w:rPr>
          <w:b w:val="0"/>
        </w:rPr>
        <w:t xml:space="preserve">Likewise, an additional intermediary was added to the chain, </w:t>
      </w:r>
      <w:r w:rsidR="00F52FA9">
        <w:rPr>
          <w:b w:val="0"/>
        </w:rPr>
        <w:t>‘</w:t>
      </w:r>
      <w:r>
        <w:rPr>
          <w:b w:val="0"/>
        </w:rPr>
        <w:t>Deliverers Intermediary 2</w:t>
      </w:r>
      <w:r w:rsidR="00F52FA9">
        <w:rPr>
          <w:b w:val="0"/>
        </w:rPr>
        <w:t>’</w:t>
      </w:r>
      <w:r>
        <w:rPr>
          <w:b w:val="0"/>
        </w:rPr>
        <w:t xml:space="preserve"> </w:t>
      </w:r>
      <w:r w:rsidRPr="008D762B">
        <w:rPr>
          <w:b w:val="0"/>
        </w:rPr>
        <w:t xml:space="preserve">(and </w:t>
      </w:r>
      <w:r>
        <w:rPr>
          <w:b w:val="0"/>
        </w:rPr>
        <w:t>Deliverers</w:t>
      </w:r>
      <w:r w:rsidRPr="008D762B">
        <w:rPr>
          <w:b w:val="0"/>
        </w:rPr>
        <w:t xml:space="preserve"> Intermediary was renamed to </w:t>
      </w:r>
      <w:r>
        <w:rPr>
          <w:b w:val="0"/>
        </w:rPr>
        <w:t>Deliverers</w:t>
      </w:r>
      <w:r w:rsidRPr="008D762B">
        <w:rPr>
          <w:b w:val="0"/>
        </w:rPr>
        <w:t xml:space="preserve"> Intermediary 1)</w:t>
      </w:r>
      <w:r>
        <w:rPr>
          <w:b w:val="0"/>
        </w:rPr>
        <w:t>. For consistency this should also be done to the order messages.</w:t>
      </w:r>
    </w:p>
    <w:p w:rsidR="001F1DC6" w:rsidRPr="000B500C" w:rsidRDefault="000B500C" w:rsidP="000B500C">
      <w:pPr>
        <w:suppressAutoHyphens w:val="0"/>
        <w:spacing w:before="240"/>
        <w:ind w:left="0"/>
        <w:rPr>
          <w:rFonts w:cs="Arial"/>
        </w:rPr>
      </w:pPr>
      <w:r w:rsidRPr="000B500C">
        <w:rPr>
          <w:szCs w:val="24"/>
        </w:rPr>
        <w:t xml:space="preserve"> </w:t>
      </w:r>
    </w:p>
    <w:p w:rsidR="001F1DC6" w:rsidRDefault="001F1DC6" w:rsidP="001F1DC6">
      <w:pPr>
        <w:ind w:left="540" w:hanging="540"/>
        <w:rPr>
          <w:szCs w:val="24"/>
        </w:rPr>
        <w:sectPr w:rsidR="001F1DC6" w:rsidSect="006709B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lastRenderedPageBreak/>
        <w:t>Purpose of the change:</w:t>
      </w:r>
    </w:p>
    <w:p w:rsidR="008F1602" w:rsidRPr="008F1602" w:rsidRDefault="008F1602" w:rsidP="008F1602">
      <w:pPr>
        <w:suppressAutoHyphens w:val="0"/>
        <w:spacing w:before="240"/>
        <w:ind w:left="0"/>
        <w:rPr>
          <w:rFonts w:cs="Arial"/>
        </w:rPr>
      </w:pPr>
      <w:proofErr w:type="gramStart"/>
      <w:r w:rsidRPr="008F1602">
        <w:rPr>
          <w:rFonts w:cs="Arial"/>
        </w:rPr>
        <w:t>Consistency.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194E77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7F7E9C" w:rsidP="00194E77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194E77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7F7E9C" w:rsidP="00194E77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</w:tr>
      <w:tr w:rsidR="00E564EF" w:rsidRPr="001A57BE" w:rsidTr="00194E77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194E77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194E77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194E77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7F7E9C" w:rsidP="007F7E9C">
      <w:pPr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</w:t>
      </w:r>
      <w:r w:rsidRPr="007F7E9C">
        <w:rPr>
          <w:rFonts w:ascii="Times New Roman" w:hAnsi="Times New Roman"/>
          <w:szCs w:val="22"/>
        </w:rPr>
        <w:t>nput from DESSUG</w:t>
      </w:r>
      <w:r>
        <w:rPr>
          <w:rFonts w:ascii="Times New Roman" w:hAnsi="Times New Roman"/>
          <w:szCs w:val="22"/>
        </w:rPr>
        <w:t xml:space="preserve">: </w:t>
      </w:r>
      <w:bookmarkStart w:id="0" w:name="_GoBack"/>
      <w:bookmarkEnd w:id="0"/>
      <w:r w:rsidRPr="007F7E9C">
        <w:rPr>
          <w:rFonts w:ascii="Times New Roman" w:hAnsi="Times New Roman"/>
          <w:szCs w:val="22"/>
        </w:rPr>
        <w:t xml:space="preserve"> "For DESSUG /Funds it is not clear why we restrict ourselves to two intermediaries. In the context of T2S there should be the option to add several intermediaries."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>
            <w:pPr>
              <w:spacing w:before="40" w:after="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E564EF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</w:tbl>
    <w:p w:rsidR="00E564EF" w:rsidRDefault="00E564EF" w:rsidP="00E564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sectPr w:rsidR="00E564EF">
      <w:footerReference w:type="default" r:id="rId1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44" w:rsidRDefault="00A92A44">
      <w:r>
        <w:separator/>
      </w:r>
    </w:p>
  </w:endnote>
  <w:endnote w:type="continuationSeparator" w:id="0">
    <w:p w:rsidR="00A92A44" w:rsidRDefault="00A9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7B" w:rsidRDefault="00CC07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77" w:rsidRDefault="00194E77" w:rsidP="00606466">
    <w:pPr>
      <w:pStyle w:val="FooterSwift"/>
      <w:tabs>
        <w:tab w:val="left" w:pos="5670"/>
      </w:tabs>
      <w:ind w:left="0"/>
      <w:jc w:val="left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  \* MERGEFORMAT </w:instrText>
    </w:r>
    <w:r>
      <w:rPr>
        <w:lang w:val="en-US"/>
      </w:rPr>
      <w:fldChar w:fldCharType="separate"/>
    </w:r>
    <w:r w:rsidR="006709BC">
      <w:rPr>
        <w:noProof/>
        <w:lang w:val="en-US"/>
      </w:rPr>
      <w:t>CR</w:t>
    </w:r>
    <w:r w:rsidR="00F52FA9">
      <w:rPr>
        <w:noProof/>
        <w:lang w:val="en-US"/>
      </w:rPr>
      <w:t>0571</w:t>
    </w:r>
    <w:r w:rsidR="006709BC">
      <w:rPr>
        <w:noProof/>
        <w:lang w:val="en-US"/>
      </w:rPr>
      <w:t>_SWIFT</w:t>
    </w:r>
    <w:r w:rsidR="00F52FA9">
      <w:rPr>
        <w:noProof/>
        <w:lang w:val="en-US"/>
      </w:rPr>
      <w:t>_IF_Setr_Sett</w:t>
    </w:r>
    <w:r w:rsidR="006709BC">
      <w:rPr>
        <w:noProof/>
        <w:lang w:val="en-US"/>
      </w:rPr>
      <w:t>AndCustody</w:t>
    </w:r>
    <w:r w:rsidR="00F52FA9">
      <w:rPr>
        <w:noProof/>
        <w:lang w:val="en-US"/>
      </w:rPr>
      <w:t>_2nd_</w:t>
    </w:r>
    <w:r w:rsidR="006709BC">
      <w:rPr>
        <w:noProof/>
        <w:lang w:val="en-US"/>
      </w:rPr>
      <w:t>Intermediary</w:t>
    </w:r>
    <w:r w:rsidR="00F52FA9">
      <w:rPr>
        <w:noProof/>
        <w:lang w:val="en-US"/>
      </w:rPr>
      <w:t>_v</w:t>
    </w:r>
    <w:r w:rsidR="007F7E9C">
      <w:rPr>
        <w:noProof/>
        <w:lang w:val="en-US"/>
      </w:rPr>
      <w:t>2</w:t>
    </w:r>
    <w:r>
      <w:rPr>
        <w:lang w:val="en-US"/>
      </w:rPr>
      <w:fldChar w:fldCharType="end"/>
    </w:r>
    <w:r w:rsidR="00F52FA9">
      <w:rPr>
        <w:lang w:val="en-US"/>
      </w:rPr>
      <w:t xml:space="preserve">  </w:t>
    </w:r>
    <w:r>
      <w:rPr>
        <w:lang w:val="en-US"/>
      </w:rPr>
      <w:t xml:space="preserve">Produced by SWIFT </w:t>
    </w:r>
    <w:r w:rsidR="00F52FA9">
      <w:rPr>
        <w:lang w:val="en-US"/>
      </w:rPr>
      <w:t>on 11 Apr 16</w:t>
    </w:r>
    <w:r>
      <w:rPr>
        <w:lang w:val="en-US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F7E9C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7B" w:rsidRDefault="00CC077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77" w:rsidRDefault="00CC077B" w:rsidP="00606466">
    <w:pPr>
      <w:pStyle w:val="FooterSwift"/>
      <w:tabs>
        <w:tab w:val="left" w:pos="4770"/>
      </w:tabs>
      <w:ind w:left="0"/>
      <w:jc w:val="left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  \* MERGEFORMAT </w:instrText>
    </w:r>
    <w:r>
      <w:rPr>
        <w:lang w:val="en-US"/>
      </w:rPr>
      <w:fldChar w:fldCharType="separate"/>
    </w:r>
    <w:r>
      <w:rPr>
        <w:noProof/>
        <w:lang w:val="en-US"/>
      </w:rPr>
      <w:t>CR0571_SWIFT_IF_Setr_SettAndCustody_2nd_Intermediary_v</w:t>
    </w:r>
    <w:r w:rsidR="007F7E9C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 Produced by SWIFT on 11 Apr 16</w:t>
    </w:r>
    <w:r w:rsidR="00194E77">
      <w:rPr>
        <w:lang w:val="en-US"/>
      </w:rPr>
      <w:tab/>
    </w:r>
    <w:r w:rsidR="00194E77">
      <w:t xml:space="preserve">Page </w:t>
    </w:r>
    <w:r w:rsidR="00194E77">
      <w:fldChar w:fldCharType="begin"/>
    </w:r>
    <w:r w:rsidR="00194E77">
      <w:instrText xml:space="preserve"> PAGE   \* MERGEFORMAT </w:instrText>
    </w:r>
    <w:r w:rsidR="00194E77">
      <w:fldChar w:fldCharType="separate"/>
    </w:r>
    <w:r w:rsidR="007F7E9C">
      <w:rPr>
        <w:noProof/>
      </w:rPr>
      <w:t>2</w:t>
    </w:r>
    <w:r w:rsidR="00194E7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44" w:rsidRDefault="00A92A44">
      <w:r>
        <w:separator/>
      </w:r>
    </w:p>
  </w:footnote>
  <w:footnote w:type="continuationSeparator" w:id="0">
    <w:p w:rsidR="00A92A44" w:rsidRDefault="00A92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7B" w:rsidRDefault="00CC07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9BC" w:rsidRDefault="00F52FA9" w:rsidP="00F52FA9">
    <w:pPr>
      <w:pStyle w:val="Header"/>
      <w:ind w:left="0"/>
    </w:pPr>
    <w:r>
      <w:t>RA ID: CR0571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7B" w:rsidRDefault="00CC07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8"/>
  </w:num>
  <w:num w:numId="21">
    <w:abstractNumId w:val="5"/>
  </w:num>
  <w:num w:numId="22">
    <w:abstractNumId w:val="9"/>
  </w:num>
  <w:num w:numId="23">
    <w:abstractNumId w:val="2"/>
  </w:num>
  <w:num w:numId="24">
    <w:abstractNumId w:val="1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85977"/>
    <w:rsid w:val="000B500C"/>
    <w:rsid w:val="00194E77"/>
    <w:rsid w:val="001F1DC6"/>
    <w:rsid w:val="0021762E"/>
    <w:rsid w:val="002B710D"/>
    <w:rsid w:val="0039241B"/>
    <w:rsid w:val="003D2975"/>
    <w:rsid w:val="004B2EBD"/>
    <w:rsid w:val="005559DF"/>
    <w:rsid w:val="00606466"/>
    <w:rsid w:val="00636FF4"/>
    <w:rsid w:val="006709BC"/>
    <w:rsid w:val="006850E2"/>
    <w:rsid w:val="00775776"/>
    <w:rsid w:val="007F7E9C"/>
    <w:rsid w:val="00821E29"/>
    <w:rsid w:val="008A0423"/>
    <w:rsid w:val="008F1602"/>
    <w:rsid w:val="009232DC"/>
    <w:rsid w:val="009A3F92"/>
    <w:rsid w:val="009E6DF4"/>
    <w:rsid w:val="00A559B9"/>
    <w:rsid w:val="00A92A44"/>
    <w:rsid w:val="00AA42DF"/>
    <w:rsid w:val="00AB1EB3"/>
    <w:rsid w:val="00B31E0C"/>
    <w:rsid w:val="00B404E0"/>
    <w:rsid w:val="00B70ED0"/>
    <w:rsid w:val="00BA2BE2"/>
    <w:rsid w:val="00C1762C"/>
    <w:rsid w:val="00CC077B"/>
    <w:rsid w:val="00CE24D2"/>
    <w:rsid w:val="00CF0163"/>
    <w:rsid w:val="00D60CE5"/>
    <w:rsid w:val="00DA147D"/>
    <w:rsid w:val="00DB3D24"/>
    <w:rsid w:val="00E564EF"/>
    <w:rsid w:val="00F52FA9"/>
    <w:rsid w:val="00F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customStyle="1" w:styleId="Headingnew1">
    <w:name w:val="Heading new 1"/>
    <w:basedOn w:val="Normal"/>
    <w:qFormat/>
    <w:rsid w:val="000B500C"/>
    <w:pPr>
      <w:suppressAutoHyphens w:val="0"/>
      <w:spacing w:before="240"/>
      <w:ind w:left="634" w:hanging="634"/>
    </w:pPr>
    <w:rPr>
      <w:rFonts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customStyle="1" w:styleId="Headingnew1">
    <w:name w:val="Heading new 1"/>
    <w:basedOn w:val="Normal"/>
    <w:qFormat/>
    <w:rsid w:val="000B500C"/>
    <w:pPr>
      <w:suppressAutoHyphens w:val="0"/>
      <w:spacing w:before="240"/>
      <w:ind w:left="634" w:hanging="634"/>
    </w:pPr>
    <w:rPr>
      <w:rFonts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 Janice</dc:creator>
  <cp:lastModifiedBy>ISO 20022 RA</cp:lastModifiedBy>
  <cp:revision>3</cp:revision>
  <dcterms:created xsi:type="dcterms:W3CDTF">2016-07-27T09:19:00Z</dcterms:created>
  <dcterms:modified xsi:type="dcterms:W3CDTF">2016-07-27T09:21:00Z</dcterms:modified>
</cp:coreProperties>
</file>