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4635FB" w:rsidRPr="005068F7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D053B2" w:rsidRPr="00DD2768" w:rsidTr="0066510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DD2768" w:rsidRDefault="00D053B2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053B2" w:rsidRPr="00DD2768" w:rsidRDefault="00D053B2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setr.014.001.03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setr.015.001.03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setr.055.001.01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setr.056.001.01</w:t>
            </w:r>
          </w:p>
        </w:tc>
      </w:tr>
      <w:tr w:rsidR="00D053B2" w:rsidRPr="00744584" w:rsidTr="00665106">
        <w:tc>
          <w:tcPr>
            <w:tcW w:w="450" w:type="dxa"/>
          </w:tcPr>
          <w:p w:rsidR="00D053B2" w:rsidRPr="00744584" w:rsidRDefault="00D053B2" w:rsidP="00D053B2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53B2" w:rsidRPr="00D053B2" w:rsidRDefault="00D053B2" w:rsidP="00D053B2">
            <w:pPr>
              <w:spacing w:before="20" w:after="20"/>
              <w:ind w:left="72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D053B2" w:rsidRPr="00744584" w:rsidRDefault="00D053B2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530" w:type="dxa"/>
          </w:tcPr>
          <w:p w:rsidR="00D053B2" w:rsidRPr="00744584" w:rsidRDefault="00D053B2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AA0C8A" w:rsidRPr="00AA0C8A" w:rsidRDefault="0028124A" w:rsidP="00AA0C8A">
      <w:pPr>
        <w:suppressAutoHyphens w:val="0"/>
        <w:spacing w:before="20" w:line="276" w:lineRule="auto"/>
        <w:ind w:left="0"/>
        <w:rPr>
          <w:rFonts w:eastAsiaTheme="minorHAnsi" w:cstheme="minorHAnsi"/>
          <w:bCs/>
          <w:szCs w:val="22"/>
          <w:lang w:val="en-US"/>
        </w:rPr>
      </w:pPr>
      <w:r w:rsidRPr="00AA0C8A">
        <w:rPr>
          <w:szCs w:val="22"/>
        </w:rPr>
        <w:t>This chan</w:t>
      </w:r>
      <w:r w:rsidR="00AA0C8A" w:rsidRPr="00AA0C8A">
        <w:rPr>
          <w:szCs w:val="22"/>
        </w:rPr>
        <w:t>ge request is to correct the</w:t>
      </w:r>
      <w:r w:rsidR="007D1A4F" w:rsidRPr="00AA0C8A">
        <w:rPr>
          <w:szCs w:val="22"/>
        </w:rPr>
        <w:t xml:space="preserve"> rule</w:t>
      </w:r>
      <w:r w:rsidR="00AA0C8A" w:rsidRPr="00AA0C8A">
        <w:rPr>
          <w:szCs w:val="22"/>
        </w:rPr>
        <w:t>s</w:t>
      </w:r>
      <w:r w:rsidR="00AC03A6" w:rsidRPr="00AA0C8A">
        <w:rPr>
          <w:szCs w:val="22"/>
        </w:rPr>
        <w:t xml:space="preserve">, </w:t>
      </w:r>
      <w:r w:rsidR="00AA0C8A" w:rsidRPr="00AA0C8A">
        <w:rPr>
          <w:rFonts w:eastAsiaTheme="minorHAnsi" w:cstheme="minorHAnsi"/>
          <w:b/>
          <w:bCs/>
          <w:szCs w:val="22"/>
          <w:lang w:val="en-US"/>
        </w:rPr>
        <w:t>OrderOriginatorEligibility3Rule</w:t>
      </w:r>
      <w:r w:rsidR="00AA0C8A">
        <w:rPr>
          <w:rFonts w:eastAsiaTheme="minorHAnsi" w:cstheme="minorHAnsi"/>
          <w:bCs/>
          <w:szCs w:val="22"/>
          <w:lang w:val="en-US"/>
        </w:rPr>
        <w:t xml:space="preserve"> and </w:t>
      </w:r>
      <w:r w:rsidR="00AA0C8A" w:rsidRPr="00AA0C8A">
        <w:rPr>
          <w:rFonts w:eastAsiaTheme="minorHAnsi" w:cstheme="minorHAnsi"/>
          <w:b/>
          <w:bCs/>
          <w:szCs w:val="22"/>
          <w:lang w:val="en-US"/>
        </w:rPr>
        <w:t>OrderOriginatorEligibility4Rule</w:t>
      </w:r>
      <w:r w:rsidR="00AA0C8A" w:rsidRPr="00AA0C8A">
        <w:rPr>
          <w:rFonts w:eastAsiaTheme="minorHAnsi" w:cstheme="minorHAnsi"/>
          <w:bCs/>
          <w:szCs w:val="22"/>
          <w:lang w:val="en-US"/>
        </w:rPr>
        <w:t>, because:</w:t>
      </w:r>
    </w:p>
    <w:p w:rsidR="007D1A4F" w:rsidRPr="00AA0C8A" w:rsidRDefault="007D1A4F" w:rsidP="007D1A4F">
      <w:pPr>
        <w:spacing w:after="0"/>
        <w:ind w:left="540" w:hanging="540"/>
        <w:rPr>
          <w:szCs w:val="22"/>
        </w:rPr>
      </w:pPr>
      <w:r w:rsidRPr="00AA0C8A">
        <w:rPr>
          <w:szCs w:val="22"/>
        </w:rPr>
        <w:t>[</w:t>
      </w:r>
      <w:r w:rsidR="004306F6" w:rsidRPr="00AA0C8A">
        <w:rPr>
          <w:szCs w:val="22"/>
        </w:rPr>
        <w:t>1</w:t>
      </w:r>
      <w:r w:rsidRPr="00AA0C8A">
        <w:rPr>
          <w:szCs w:val="22"/>
        </w:rPr>
        <w:t>]</w:t>
      </w:r>
      <w:r w:rsidRPr="00AA0C8A">
        <w:rPr>
          <w:szCs w:val="22"/>
        </w:rPr>
        <w:tab/>
      </w:r>
      <w:proofErr w:type="gramStart"/>
      <w:r w:rsidR="004306F6" w:rsidRPr="00AA0C8A">
        <w:rPr>
          <w:szCs w:val="22"/>
        </w:rPr>
        <w:t>a</w:t>
      </w:r>
      <w:proofErr w:type="gramEnd"/>
      <w:r w:rsidRPr="00AA0C8A">
        <w:rPr>
          <w:szCs w:val="22"/>
        </w:rPr>
        <w:t xml:space="preserve"> path in the rule </w:t>
      </w:r>
      <w:r w:rsidR="004306F6" w:rsidRPr="00AA0C8A">
        <w:rPr>
          <w:szCs w:val="22"/>
        </w:rPr>
        <w:t>is</w:t>
      </w:r>
      <w:r w:rsidRPr="00AA0C8A">
        <w:rPr>
          <w:szCs w:val="22"/>
        </w:rPr>
        <w:t xml:space="preserve"> wrong </w:t>
      </w:r>
      <w:r w:rsidR="00AA0C8A" w:rsidRPr="00AA0C8A">
        <w:rPr>
          <w:szCs w:val="22"/>
        </w:rPr>
        <w:t xml:space="preserve"> (</w:t>
      </w:r>
      <w:r w:rsidR="00AA0C8A" w:rsidRPr="00AA0C8A">
        <w:rPr>
          <w:rFonts w:eastAsiaTheme="minorHAnsi" w:cstheme="minorHAnsi"/>
          <w:bCs/>
          <w:szCs w:val="22"/>
          <w:lang w:val="en-US"/>
        </w:rPr>
        <w:t>OrderOriginatorEligibility3Rule)</w:t>
      </w:r>
    </w:p>
    <w:p w:rsidR="007D1A4F" w:rsidRPr="007D1A4F" w:rsidRDefault="004306F6" w:rsidP="007D1A4F">
      <w:pPr>
        <w:spacing w:after="0"/>
        <w:ind w:left="540" w:hanging="540"/>
        <w:rPr>
          <w:rFonts w:cstheme="minorHAnsi"/>
          <w:szCs w:val="22"/>
          <w:lang w:eastAsia="en-GB"/>
        </w:rPr>
      </w:pPr>
      <w:r>
        <w:rPr>
          <w:szCs w:val="22"/>
        </w:rPr>
        <w:t>[2</w:t>
      </w:r>
      <w:r w:rsidR="007D1A4F">
        <w:rPr>
          <w:szCs w:val="22"/>
        </w:rPr>
        <w:t>]</w:t>
      </w:r>
      <w:r w:rsidR="007D1A4F">
        <w:rPr>
          <w:szCs w:val="22"/>
        </w:rPr>
        <w:tab/>
      </w:r>
      <w:proofErr w:type="gramStart"/>
      <w:r w:rsidR="007D1A4F">
        <w:rPr>
          <w:szCs w:val="22"/>
        </w:rPr>
        <w:t>the</w:t>
      </w:r>
      <w:proofErr w:type="gramEnd"/>
      <w:r w:rsidR="007D1A4F">
        <w:rPr>
          <w:szCs w:val="22"/>
        </w:rPr>
        <w:t xml:space="preserve"> language used to express the rule </w:t>
      </w:r>
      <w:r w:rsidR="007D1A4F" w:rsidRPr="007D1A4F">
        <w:rPr>
          <w:rFonts w:cstheme="minorHAnsi"/>
          <w:szCs w:val="22"/>
          <w:lang w:eastAsia="en-GB"/>
        </w:rPr>
        <w:t xml:space="preserve">does not conform to </w:t>
      </w:r>
      <w:r w:rsidR="007D1A4F">
        <w:rPr>
          <w:rFonts w:cstheme="minorHAnsi"/>
          <w:szCs w:val="22"/>
          <w:lang w:eastAsia="en-GB"/>
        </w:rPr>
        <w:t xml:space="preserve">the </w:t>
      </w:r>
      <w:r w:rsidR="007D1A4F" w:rsidRPr="007D1A4F">
        <w:rPr>
          <w:rFonts w:cstheme="minorHAnsi"/>
          <w:szCs w:val="22"/>
          <w:lang w:eastAsia="en-GB"/>
        </w:rPr>
        <w:t>ISO 20022 linguistic style for a rule.</w:t>
      </w:r>
    </w:p>
    <w:p w:rsidR="00DB0272" w:rsidRDefault="00DB027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DB0272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4544695" cy="829119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7" w:rsidRDefault="007F50D7">
      <w:pPr>
        <w:suppressAutoHyphens w:val="0"/>
        <w:spacing w:before="0" w:after="0"/>
        <w:ind w:left="0"/>
        <w:rPr>
          <w:b/>
        </w:rPr>
      </w:pPr>
    </w:p>
    <w:p w:rsidR="00E308C7" w:rsidRPr="00245DED" w:rsidRDefault="00E308C7" w:rsidP="00DB0272">
      <w:pPr>
        <w:spacing w:before="240"/>
        <w:ind w:left="0"/>
        <w:rPr>
          <w:szCs w:val="24"/>
        </w:rPr>
      </w:pPr>
      <w:r>
        <w:rPr>
          <w:b/>
          <w:szCs w:val="24"/>
        </w:rPr>
        <w:lastRenderedPageBreak/>
        <w:t xml:space="preserve"> </w:t>
      </w:r>
    </w:p>
    <w:p w:rsidR="00EA1FF5" w:rsidRDefault="00EA1FF5" w:rsidP="00D162E6">
      <w:pPr>
        <w:spacing w:after="240"/>
        <w:ind w:left="0"/>
        <w:rPr>
          <w:szCs w:val="24"/>
        </w:rPr>
      </w:pPr>
    </w:p>
    <w:p w:rsidR="008D4F72" w:rsidRDefault="00EA1FF5" w:rsidP="002B710D">
      <w:pPr>
        <w:ind w:left="0"/>
        <w:rPr>
          <w:szCs w:val="24"/>
        </w:rPr>
      </w:pPr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‘cancel</w:t>
      </w:r>
      <w:r>
        <w:rPr>
          <w:szCs w:val="24"/>
        </w:rPr>
        <w:t xml:space="preserve"> by details’ is agreed then this </w:t>
      </w:r>
      <w:r w:rsidR="00E308C7">
        <w:rPr>
          <w:szCs w:val="24"/>
        </w:rPr>
        <w:t>eliminates the need for changes to the cancellation messages (</w:t>
      </w:r>
      <w:r w:rsidR="008145F2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8145F2">
        <w:rPr>
          <w:szCs w:val="24"/>
        </w:rPr>
        <w:t xml:space="preserve">setr.008, </w:t>
      </w:r>
      <w:r>
        <w:rPr>
          <w:szCs w:val="24"/>
        </w:rPr>
        <w:t>setr.011,</w:t>
      </w:r>
      <w:r w:rsidR="008145F2">
        <w:rPr>
          <w:szCs w:val="24"/>
        </w:rPr>
        <w:t xml:space="preserve"> setr.047, setr.049, setr.051 and setr.053</w:t>
      </w:r>
      <w:r w:rsidR="00E308C7">
        <w:rPr>
          <w:szCs w:val="24"/>
        </w:rPr>
        <w:t>).</w:t>
      </w:r>
    </w:p>
    <w:p w:rsidR="00080EE9" w:rsidRDefault="00080EE9" w:rsidP="002B710D">
      <w:pPr>
        <w:ind w:left="0"/>
        <w:rPr>
          <w:szCs w:val="24"/>
        </w:rPr>
        <w:sectPr w:rsidR="00080E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DB0272">
        <w:rPr>
          <w:szCs w:val="22"/>
        </w:rPr>
        <w:t xml:space="preserve">With respect to the change from rules that are described as text only into formally expressed rules that can be </w:t>
      </w:r>
      <w:r w:rsidR="006866B7">
        <w:rPr>
          <w:szCs w:val="22"/>
        </w:rPr>
        <w:t>validat</w:t>
      </w:r>
      <w:r w:rsidR="00EE4835">
        <w:rPr>
          <w:szCs w:val="22"/>
        </w:rPr>
        <w:t>ed</w:t>
      </w:r>
      <w:r w:rsidRPr="00DB0272">
        <w:rPr>
          <w:szCs w:val="22"/>
        </w:rPr>
        <w:t xml:space="preserve"> in an automated way, the </w:t>
      </w:r>
      <w:r w:rsidR="00DB0272" w:rsidRPr="00DB0272">
        <w:rPr>
          <w:rFonts w:cstheme="minorHAnsi"/>
          <w:bCs/>
          <w:szCs w:val="22"/>
        </w:rPr>
        <w:t>Order</w:t>
      </w:r>
      <w:r w:rsidR="006866B7">
        <w:rPr>
          <w:rFonts w:cstheme="minorHAnsi"/>
          <w:bCs/>
          <w:szCs w:val="22"/>
        </w:rPr>
        <w:t xml:space="preserve"> </w:t>
      </w:r>
      <w:r w:rsidR="00DB0272" w:rsidRPr="00DB0272">
        <w:rPr>
          <w:rFonts w:cstheme="minorHAnsi"/>
          <w:bCs/>
          <w:szCs w:val="22"/>
        </w:rPr>
        <w:t>Originator</w:t>
      </w:r>
      <w:r w:rsidR="006866B7">
        <w:rPr>
          <w:rFonts w:cstheme="minorHAnsi"/>
          <w:bCs/>
          <w:szCs w:val="22"/>
        </w:rPr>
        <w:t xml:space="preserve"> </w:t>
      </w:r>
      <w:r w:rsidR="00DB0272" w:rsidRPr="00DB0272">
        <w:rPr>
          <w:rFonts w:cstheme="minorHAnsi"/>
          <w:bCs/>
          <w:szCs w:val="22"/>
        </w:rPr>
        <w:t>Eligibility</w:t>
      </w:r>
      <w:r w:rsidR="006866B7">
        <w:rPr>
          <w:rFonts w:cstheme="minorHAnsi"/>
          <w:bCs/>
          <w:szCs w:val="22"/>
        </w:rPr>
        <w:t xml:space="preserve"> </w:t>
      </w:r>
      <w:r w:rsidR="00DB0272" w:rsidRPr="00DB0272">
        <w:rPr>
          <w:rFonts w:cstheme="minorHAnsi"/>
          <w:bCs/>
          <w:szCs w:val="22"/>
        </w:rPr>
        <w:t>3</w:t>
      </w:r>
      <w:r w:rsidR="006866B7">
        <w:rPr>
          <w:rFonts w:cstheme="minorHAnsi"/>
          <w:bCs/>
          <w:szCs w:val="22"/>
        </w:rPr>
        <w:t xml:space="preserve"> </w:t>
      </w:r>
      <w:r w:rsidR="00DB0272" w:rsidRPr="00DB0272">
        <w:rPr>
          <w:rFonts w:cstheme="minorHAnsi"/>
          <w:bCs/>
          <w:szCs w:val="22"/>
        </w:rPr>
        <w:t>Rule</w:t>
      </w:r>
      <w:r w:rsidR="007D1A4F" w:rsidRPr="00DB0272">
        <w:rPr>
          <w:rFonts w:cstheme="minorHAnsi"/>
          <w:bCs/>
          <w:szCs w:val="22"/>
        </w:rPr>
        <w:t xml:space="preserve"> is not a rule that currently can be ex</w:t>
      </w:r>
      <w:r w:rsidR="00DB0272">
        <w:rPr>
          <w:rFonts w:cstheme="minorHAnsi"/>
          <w:bCs/>
          <w:szCs w:val="22"/>
        </w:rPr>
        <w:t xml:space="preserve">pressed </w:t>
      </w:r>
      <w:r w:rsidR="00DB0272"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 w:rsidR="00DB0272">
        <w:rPr>
          <w:szCs w:val="24"/>
        </w:rPr>
        <w:t>.</w:t>
      </w:r>
    </w:p>
    <w:p w:rsidR="00547C26" w:rsidRDefault="00547C26" w:rsidP="002B710D">
      <w:pPr>
        <w:ind w:left="0"/>
        <w:rPr>
          <w:szCs w:val="24"/>
          <w:lang w:val="en-US"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10"/>
        <w:gridCol w:w="1170"/>
        <w:gridCol w:w="1080"/>
        <w:gridCol w:w="5220"/>
        <w:gridCol w:w="5220"/>
      </w:tblGrid>
      <w:tr w:rsidR="00881D5F" w:rsidRPr="00881D5F" w:rsidTr="00494067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Setr.001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Inidivual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Order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Order 7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Setr.002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Order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Order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Setr.003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Individual Execution Details 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Redemption Execution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setr.004</w:t>
            </w:r>
          </w:p>
        </w:tc>
        <w:tc>
          <w:tcPr>
            <w:tcW w:w="117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Order Details</w:t>
            </w:r>
          </w:p>
        </w:tc>
        <w:tc>
          <w:tcPr>
            <w:tcW w:w="108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4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IndividualOrderDetails/RelatedPartiesDetails/OrderOriginatorEligibility</w:t>
            </w:r>
            <w:proofErr w:type="gram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)  may</w:t>
            </w:r>
            <w:proofErr w:type="gram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IndividualOrderDetails/Related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</w:t>
            </w:r>
            <w:proofErr w:type="gram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may</w:t>
            </w:r>
            <w:proofErr w:type="gram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setr.005</w:t>
            </w:r>
          </w:p>
        </w:tc>
        <w:tc>
          <w:tcPr>
            <w:tcW w:w="117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CancellationByOrderDetails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\ Multiple Order Details</w:t>
            </w:r>
          </w:p>
        </w:tc>
        <w:tc>
          <w:tcPr>
            <w:tcW w:w="108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OrderOriginatorEligibility3Rule 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IndividualOrderDetails/RelatedPartiesDetails/OrderOriginatorEligibility)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OrderOriginatorEligibility3Rule 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IndividualOrderDetails/Related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Setr.006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  <w:t>Setr.007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  <w:t>Individual Order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  <w:t>Subscription Order 7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) may be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Setr.008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Order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Order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Setr.009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Execution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setr.010</w:t>
            </w:r>
          </w:p>
        </w:tc>
        <w:tc>
          <w:tcPr>
            <w:tcW w:w="117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Bid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Multiple Order Details </w:t>
            </w:r>
          </w:p>
        </w:tc>
        <w:tc>
          <w:tcPr>
            <w:tcW w:w="108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4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IndividualOrderDetails/RelatedPartiesDetails/OrderOriginatorEligibility or (one or more instances of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Details/OrderOriginatorEligibility </w:t>
            </w:r>
            <w:proofErr w:type="gram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 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proofErr w:type="gram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setr.011</w:t>
            </w:r>
          </w:p>
        </w:tc>
        <w:tc>
          <w:tcPr>
            <w:tcW w:w="117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 \ Multiple Order Details</w:t>
            </w:r>
          </w:p>
        </w:tc>
        <w:tc>
          <w:tcPr>
            <w:tcW w:w="1080" w:type="dxa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IndividualOrderDetails/RelatedPartiesDetails/OrderOriginatorEligibility)  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 </w:t>
            </w:r>
            <w:proofErr w:type="gram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more 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proofErr w:type="gram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IndividualOrderDetails/Related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 may be present, but not both.</w:t>
            </w:r>
          </w:p>
        </w:tc>
      </w:tr>
      <w:tr w:rsidR="00494067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setr.012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Setr.047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occurrences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Setr.048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lastRenderedPageBreak/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Setr.049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Individiual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Execution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="00123AA3" w:rsidRPr="00123AA3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Setr.050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Execution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occurrences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Setr.051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occurrences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Setr.052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occurrences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</w:t>
            </w:r>
            <w:r w:rsidR="00494067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ator</w:t>
            </w:r>
            <w:r w:rsidR="00494067" w:rsidRPr="00494067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Setr.053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Execution 5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</w:t>
            </w:r>
            <w:r w:rsidR="00494067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ails/OrderOriginator</w:t>
            </w:r>
            <w:r w:rsidR="00494067" w:rsidRPr="00494067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494067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881D5F" w:rsidRPr="00881D5F" w:rsidRDefault="00881D5F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Setr.054</w:t>
            </w:r>
          </w:p>
        </w:tc>
        <w:tc>
          <w:tcPr>
            <w:tcW w:w="117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 Execution Details</w:t>
            </w:r>
          </w:p>
        </w:tc>
        <w:tc>
          <w:tcPr>
            <w:tcW w:w="1080" w:type="dxa"/>
            <w:shd w:val="clear" w:color="auto" w:fill="auto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Execution 5</w:t>
            </w:r>
          </w:p>
        </w:tc>
        <w:tc>
          <w:tcPr>
            <w:tcW w:w="5220" w:type="dxa"/>
          </w:tcPr>
          <w:p w:rsidR="00881D5F" w:rsidRPr="00881D5F" w:rsidRDefault="00881D5F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(one or more instances of IndividualExecutionDetails/RelatedPartiesDetails/OrderOriginatorEligibility) may be present, but not both.</w:t>
            </w:r>
          </w:p>
        </w:tc>
        <w:tc>
          <w:tcPr>
            <w:tcW w:w="5220" w:type="dxa"/>
          </w:tcPr>
          <w:p w:rsidR="00881D5F" w:rsidRPr="00881D5F" w:rsidRDefault="00881D5F" w:rsidP="00881D5F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OrderOriginatorEligibility3Rule</w:t>
            </w:r>
          </w:p>
          <w:p w:rsidR="00881D5F" w:rsidRPr="00881D5F" w:rsidRDefault="00881D5F" w:rsidP="00494067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InvestmentAccountDetails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OrderOriginatorEligibility</w:t>
            </w:r>
            <w:proofErr w:type="spellEnd"/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more 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IndividualExecutionDetails/Related</w:t>
            </w:r>
            <w:r w:rsidRPr="00881D5F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Details/OrderOriginator</w:t>
            </w:r>
            <w:r w:rsidRPr="00881D5F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Eligibility</w:t>
            </w: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FD4659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FD4659" w:rsidRPr="00881D5F" w:rsidRDefault="00FD4659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FD4659" w:rsidRPr="00881D5F" w:rsidRDefault="00FD4659" w:rsidP="00FD4659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Setr.013</w:t>
            </w:r>
          </w:p>
        </w:tc>
        <w:tc>
          <w:tcPr>
            <w:tcW w:w="1170" w:type="dxa"/>
            <w:shd w:val="clear" w:color="auto" w:fill="auto"/>
          </w:tcPr>
          <w:p w:rsidR="00FD4659" w:rsidRPr="00881D5F" w:rsidRDefault="00FD4659" w:rsidP="00FD4659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FD4659" w:rsidRDefault="00FD4659" w:rsidP="00FD4659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>Either SwitchOrderDetails/InvestmentAccountDetails/OrderOriginatorEligibility or (one or more instances of SwitchOrderDetails/RelatedPartyDetails/OrderOriginatorEligibility) may be present, but not both.</w:t>
            </w: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C46757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881D5F" w:rsidRDefault="00FD4659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</w:rPr>
              <w:t xml:space="preserve">Either </w:t>
            </w:r>
            <w:r w:rsidRPr="00FD4659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SwitchOrderDetails/InvestmentAccountDetails/OrderOriginatorEligibility or one or more </w:t>
            </w:r>
            <w:proofErr w:type="gramStart"/>
            <w:r w:rsidRPr="00FD4659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occurrences</w:t>
            </w:r>
            <w:r w:rsidRPr="00FD4659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 of</w:t>
            </w:r>
            <w:proofErr w:type="gramEnd"/>
            <w:r w:rsidRPr="00FD4659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SwitchOrderDetails/RelatedPartyDetails/OrderOriginatorEligibility</w:t>
            </w: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FD4659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may be present, but not both.</w:t>
            </w:r>
          </w:p>
        </w:tc>
      </w:tr>
      <w:tr w:rsidR="00FD4659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FD4659" w:rsidRPr="00881D5F" w:rsidRDefault="00FD4659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Setr.014</w:t>
            </w:r>
          </w:p>
        </w:tc>
        <w:tc>
          <w:tcPr>
            <w:tcW w:w="117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881D5F" w:rsidRDefault="00FD4659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Either SwitchOrderDetails/InvestmentAccountDetails/OrderOriginatorEligibility or (one or more instances of SwitchOrderDetails/RelatedPartyDetails/OrderOriginatorEligibility) may be present, but not both.</w:t>
            </w: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881D5F" w:rsidRDefault="00FD4659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3C2B7A">
              <w:rPr>
                <w:rFonts w:cstheme="minorHAnsi"/>
                <w:bCs/>
                <w:sz w:val="18"/>
                <w:szCs w:val="18"/>
              </w:rPr>
              <w:t>Either SwitchOrderDetails/InvestmentAccountDetails</w:t>
            </w:r>
            <w:r>
              <w:rPr>
                <w:rFonts w:cstheme="minorHAnsi"/>
                <w:bCs/>
                <w:sz w:val="18"/>
                <w:szCs w:val="18"/>
              </w:rPr>
              <w:t xml:space="preserve">/OrderOriginatorEligibility or 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one or more </w:t>
            </w:r>
            <w:r>
              <w:rPr>
                <w:rFonts w:cstheme="minorHAnsi"/>
                <w:bCs/>
                <w:color w:val="FF0000"/>
                <w:sz w:val="18"/>
                <w:szCs w:val="18"/>
              </w:rPr>
              <w:t xml:space="preserve">occurrences </w:t>
            </w:r>
            <w:r w:rsidRPr="003C2B7A">
              <w:rPr>
                <w:rFonts w:cstheme="minorHAnsi"/>
                <w:bCs/>
                <w:sz w:val="18"/>
                <w:szCs w:val="18"/>
              </w:rPr>
              <w:t>of SwitchOrderDetails/RelatedPartyDet</w:t>
            </w:r>
            <w:r>
              <w:rPr>
                <w:rFonts w:cstheme="minorHAnsi"/>
                <w:bCs/>
                <w:sz w:val="18"/>
                <w:szCs w:val="18"/>
              </w:rPr>
              <w:t>ails/OrderOriginatorEligibility</w:t>
            </w:r>
            <w:r w:rsidRPr="003C2B7A">
              <w:rPr>
                <w:rFonts w:cstheme="minorHAnsi"/>
                <w:bCs/>
                <w:sz w:val="18"/>
                <w:szCs w:val="18"/>
              </w:rPr>
              <w:t xml:space="preserve"> may be present, but not both.</w:t>
            </w:r>
          </w:p>
        </w:tc>
      </w:tr>
      <w:tr w:rsidR="00FD4659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FD4659" w:rsidRPr="00881D5F" w:rsidRDefault="00FD4659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Setr.015</w:t>
            </w:r>
          </w:p>
        </w:tc>
        <w:tc>
          <w:tcPr>
            <w:tcW w:w="117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FD4659" w:rsidRPr="00881D5F" w:rsidRDefault="00FD4659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83579D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881D5F" w:rsidRDefault="00FD4659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3579D">
              <w:rPr>
                <w:rFonts w:cstheme="minorHAnsi"/>
                <w:bCs/>
                <w:sz w:val="18"/>
                <w:szCs w:val="18"/>
              </w:rPr>
              <w:t>Either SwitchExecutionDetails/InvestmentAccountDetails/OrderOriginatorEligibility or (one or more instances of SwitchExecutionDetails/RelatedPartyDetails/OrderOriginatorEligibility) may be present, but not both.</w:t>
            </w:r>
          </w:p>
        </w:tc>
        <w:tc>
          <w:tcPr>
            <w:tcW w:w="5220" w:type="dxa"/>
          </w:tcPr>
          <w:p w:rsidR="00FD4659" w:rsidRDefault="00FD4659" w:rsidP="00FD4659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83579D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FD4659" w:rsidRPr="00881D5F" w:rsidRDefault="00FD4659" w:rsidP="00FD4659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3579D">
              <w:rPr>
                <w:rFonts w:cstheme="minorHAnsi"/>
                <w:bCs/>
                <w:sz w:val="18"/>
                <w:szCs w:val="18"/>
              </w:rPr>
              <w:t>Either SwitchExecutionDetails/InvestmentAccountDetails</w:t>
            </w:r>
            <w:r>
              <w:rPr>
                <w:rFonts w:cstheme="minorHAnsi"/>
                <w:bCs/>
                <w:sz w:val="18"/>
                <w:szCs w:val="18"/>
              </w:rPr>
              <w:t xml:space="preserve">/OrderOriginatorEligibility or </w:t>
            </w:r>
            <w:r w:rsidRPr="0083579D">
              <w:rPr>
                <w:rFonts w:cstheme="minorHAnsi"/>
                <w:bCs/>
                <w:sz w:val="18"/>
                <w:szCs w:val="18"/>
              </w:rPr>
              <w:t xml:space="preserve">one or more </w:t>
            </w:r>
            <w:r w:rsidRPr="00FD4659">
              <w:rPr>
                <w:rFonts w:cstheme="minorHAnsi"/>
                <w:bCs/>
                <w:color w:val="FF0000"/>
                <w:sz w:val="18"/>
                <w:szCs w:val="18"/>
              </w:rPr>
              <w:t>occurrences</w:t>
            </w:r>
            <w:r w:rsidRPr="0083579D">
              <w:rPr>
                <w:rFonts w:cstheme="minorHAnsi"/>
                <w:bCs/>
                <w:sz w:val="18"/>
                <w:szCs w:val="18"/>
              </w:rPr>
              <w:t xml:space="preserve"> of SwitchExecutionDetails/RelatedPartyDetails/OrderOriginatorEligibility) may be present, but not both.</w:t>
            </w:r>
          </w:p>
        </w:tc>
      </w:tr>
      <w:tr w:rsidR="00A8644A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A8644A" w:rsidRPr="00881D5F" w:rsidRDefault="00A8644A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A8644A" w:rsidRDefault="00A8644A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Setr.055</w:t>
            </w:r>
          </w:p>
        </w:tc>
        <w:tc>
          <w:tcPr>
            <w:tcW w:w="1170" w:type="dxa"/>
            <w:shd w:val="clear" w:color="auto" w:fill="auto"/>
          </w:tcPr>
          <w:p w:rsidR="00A8644A" w:rsidRDefault="00A8644A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A8644A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Confirmation Details</w:t>
            </w:r>
          </w:p>
        </w:tc>
        <w:tc>
          <w:tcPr>
            <w:tcW w:w="1080" w:type="dxa"/>
            <w:shd w:val="clear" w:color="auto" w:fill="auto"/>
          </w:tcPr>
          <w:p w:rsidR="00A8644A" w:rsidRPr="00881D5F" w:rsidRDefault="00A8644A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A8644A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Switch Order Confirmation 1</w:t>
            </w:r>
          </w:p>
        </w:tc>
        <w:tc>
          <w:tcPr>
            <w:tcW w:w="5220" w:type="dxa"/>
          </w:tcPr>
          <w:p w:rsidR="00A8644A" w:rsidRDefault="00A8644A" w:rsidP="00A8644A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A8644A" w:rsidRPr="0083579D" w:rsidRDefault="00A8644A" w:rsidP="00A8644A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Either SwitchExecutionDetails/InvestmentAccountDetails/OrderOriginatorEligibility or (one or more instances of SwitchExecutionDetails/RelatedPartyDetails/OrderOriginatorEligibility) may be present, but not both.</w:t>
            </w:r>
          </w:p>
        </w:tc>
        <w:tc>
          <w:tcPr>
            <w:tcW w:w="5220" w:type="dxa"/>
          </w:tcPr>
          <w:p w:rsidR="00A8644A" w:rsidRDefault="00A8644A" w:rsidP="00A8644A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A8644A" w:rsidRPr="0083579D" w:rsidRDefault="00A8644A" w:rsidP="00A8644A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Either SwitchExecutionDetails/InvestmentAccountDetails</w:t>
            </w:r>
            <w:r>
              <w:rPr>
                <w:rFonts w:cstheme="minorHAnsi"/>
                <w:bCs/>
                <w:sz w:val="18"/>
                <w:szCs w:val="18"/>
              </w:rPr>
              <w:t xml:space="preserve">/OrderOriginatorEligibility or </w:t>
            </w:r>
            <w:r w:rsidRPr="00B55C91">
              <w:rPr>
                <w:rFonts w:cstheme="minorHAnsi"/>
                <w:bCs/>
                <w:sz w:val="18"/>
                <w:szCs w:val="18"/>
              </w:rPr>
              <w:t xml:space="preserve">one or more </w:t>
            </w:r>
            <w:proofErr w:type="spellStart"/>
            <w:r>
              <w:rPr>
                <w:rFonts w:cstheme="minorHAnsi"/>
                <w:bCs/>
                <w:color w:val="FF0000"/>
                <w:sz w:val="18"/>
                <w:szCs w:val="18"/>
              </w:rPr>
              <w:t>occurrences</w:t>
            </w:r>
            <w:r w:rsidRPr="00B55C91">
              <w:rPr>
                <w:rFonts w:cstheme="minorHAnsi"/>
                <w:bCs/>
                <w:sz w:val="18"/>
                <w:szCs w:val="18"/>
              </w:rPr>
              <w:t>of</w:t>
            </w:r>
            <w:proofErr w:type="spellEnd"/>
            <w:r w:rsidRPr="00B55C91">
              <w:rPr>
                <w:rFonts w:cstheme="minorHAnsi"/>
                <w:bCs/>
                <w:sz w:val="18"/>
                <w:szCs w:val="18"/>
              </w:rPr>
              <w:t xml:space="preserve"> SwitchExecutionDetails/RelatedPartyDet</w:t>
            </w:r>
            <w:r>
              <w:rPr>
                <w:rFonts w:cstheme="minorHAnsi"/>
                <w:bCs/>
                <w:sz w:val="18"/>
                <w:szCs w:val="18"/>
              </w:rPr>
              <w:t>ails/OrderOriginatorEligibility</w:t>
            </w:r>
            <w:r w:rsidRPr="00B55C91">
              <w:rPr>
                <w:rFonts w:cstheme="minorHAnsi"/>
                <w:bCs/>
                <w:sz w:val="18"/>
                <w:szCs w:val="18"/>
              </w:rPr>
              <w:t xml:space="preserve"> may be present, but not both.</w:t>
            </w:r>
          </w:p>
        </w:tc>
      </w:tr>
      <w:tr w:rsidR="004273BC" w:rsidRPr="00881D5F" w:rsidTr="00494067">
        <w:trPr>
          <w:trHeight w:val="170"/>
        </w:trPr>
        <w:tc>
          <w:tcPr>
            <w:tcW w:w="465" w:type="dxa"/>
            <w:shd w:val="clear" w:color="auto" w:fill="auto"/>
          </w:tcPr>
          <w:p w:rsidR="004273BC" w:rsidRPr="00881D5F" w:rsidRDefault="004273BC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4273BC" w:rsidRDefault="004273BC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Setr.056</w:t>
            </w:r>
          </w:p>
        </w:tc>
        <w:tc>
          <w:tcPr>
            <w:tcW w:w="1170" w:type="dxa"/>
            <w:shd w:val="clear" w:color="auto" w:fill="auto"/>
          </w:tcPr>
          <w:p w:rsidR="004273BC" w:rsidRPr="00A8644A" w:rsidRDefault="004273BC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4273BC" w:rsidRPr="00A8644A" w:rsidRDefault="004273BC" w:rsidP="00A8644A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4273BC" w:rsidRDefault="004273BC" w:rsidP="004273BC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4273BC" w:rsidRPr="00B55C91" w:rsidRDefault="004273BC" w:rsidP="004273BC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Either SwitchExecutionDetails/InvestmentAccountDetails/OrderOriginatorEligibility or (one or more instances of SwitchExecutionDetails/RelatedPartyDetails/OrderOriginatorEligibility) may be present, but not both.</w:t>
            </w:r>
          </w:p>
        </w:tc>
        <w:tc>
          <w:tcPr>
            <w:tcW w:w="5220" w:type="dxa"/>
          </w:tcPr>
          <w:p w:rsidR="004273BC" w:rsidRDefault="004273BC" w:rsidP="004273BC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OrderOriginatorEligibility4Rule</w:t>
            </w:r>
          </w:p>
          <w:p w:rsidR="004273BC" w:rsidRPr="00B55C91" w:rsidRDefault="004273BC" w:rsidP="00FB55BA">
            <w:pPr>
              <w:spacing w:before="2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B55C91">
              <w:rPr>
                <w:rFonts w:cstheme="minorHAnsi"/>
                <w:bCs/>
                <w:sz w:val="18"/>
                <w:szCs w:val="18"/>
              </w:rPr>
              <w:t>Either SwitchExecutionDetails/InvestmentAccountDetails</w:t>
            </w:r>
            <w:r>
              <w:rPr>
                <w:rFonts w:cstheme="minorHAnsi"/>
                <w:bCs/>
                <w:sz w:val="18"/>
                <w:szCs w:val="18"/>
              </w:rPr>
              <w:t xml:space="preserve">/OrderOriginatorEligibility or </w:t>
            </w:r>
            <w:r w:rsidRPr="00B55C91">
              <w:rPr>
                <w:rFonts w:cstheme="minorHAnsi"/>
                <w:bCs/>
                <w:sz w:val="18"/>
                <w:szCs w:val="18"/>
              </w:rPr>
              <w:t xml:space="preserve">one or more </w:t>
            </w:r>
            <w:r>
              <w:rPr>
                <w:rFonts w:cstheme="minorHAnsi"/>
                <w:bCs/>
                <w:color w:val="FF0000"/>
                <w:sz w:val="18"/>
                <w:szCs w:val="18"/>
              </w:rPr>
              <w:t xml:space="preserve">occurrences </w:t>
            </w: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B55C91">
              <w:rPr>
                <w:rFonts w:cstheme="minorHAnsi"/>
                <w:bCs/>
                <w:sz w:val="18"/>
                <w:szCs w:val="18"/>
              </w:rPr>
              <w:t>f SwitchExecutionDetails/RelatedPartyDetails/OrderOriginatorEligibility may be present, but not both.</w:t>
            </w:r>
          </w:p>
        </w:tc>
      </w:tr>
    </w:tbl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17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AE5B83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AE5B83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CD" w:rsidRDefault="004719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356A1A" w:rsidP="006A79C3">
    <w:pPr>
      <w:pStyle w:val="FooterSwift"/>
      <w:tabs>
        <w:tab w:val="clear" w:pos="4200"/>
        <w:tab w:val="left" w:pos="5580"/>
      </w:tabs>
      <w:ind w:left="0"/>
      <w:jc w:val="left"/>
      <w:rPr>
        <w:lang w:val="en-US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719CD">
      <w:rPr>
        <w:noProof/>
      </w:rPr>
      <w:t>CR0559_SWIFT_IF_setr_OrderOriginatorEligibilityRule_v</w:t>
    </w:r>
    <w:r w:rsidR="00AE5B83">
      <w:rPr>
        <w:noProof/>
      </w:rPr>
      <w:t>2</w:t>
    </w:r>
    <w:r>
      <w:rPr>
        <w:noProof/>
      </w:rPr>
      <w:fldChar w:fldCharType="end"/>
    </w:r>
    <w:r w:rsidR="004306F6">
      <w:rPr>
        <w:b/>
      </w:rPr>
      <w:tab/>
    </w:r>
    <w:r w:rsidR="004306F6">
      <w:rPr>
        <w:lang w:val="en-US"/>
      </w:rPr>
      <w:t>Produced by</w:t>
    </w:r>
    <w:r w:rsidR="00D16CB4">
      <w:rPr>
        <w:lang w:val="en-US"/>
      </w:rPr>
      <w:t xml:space="preserve"> SWIFT Standards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CD" w:rsidRDefault="004719C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356A1A" w:rsidP="006A79C3">
    <w:pPr>
      <w:pStyle w:val="FooterSwift"/>
      <w:tabs>
        <w:tab w:val="clear" w:pos="4200"/>
        <w:tab w:val="clear" w:pos="8712"/>
        <w:tab w:val="left" w:pos="5940"/>
        <w:tab w:val="left" w:pos="13230"/>
      </w:tabs>
      <w:ind w:left="0"/>
      <w:jc w:val="left"/>
      <w:rPr>
        <w:lang w:val="en-US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6A79C3">
      <w:rPr>
        <w:noProof/>
      </w:rPr>
      <w:t>CR</w:t>
    </w:r>
    <w:r w:rsidR="004719CD">
      <w:rPr>
        <w:noProof/>
      </w:rPr>
      <w:t>0559</w:t>
    </w:r>
    <w:r w:rsidR="006A79C3">
      <w:rPr>
        <w:noProof/>
      </w:rPr>
      <w:t>_SWIFT</w:t>
    </w:r>
    <w:r w:rsidR="004719CD">
      <w:rPr>
        <w:noProof/>
      </w:rPr>
      <w:t>_IF</w:t>
    </w:r>
    <w:r w:rsidR="006A79C3">
      <w:rPr>
        <w:noProof/>
      </w:rPr>
      <w:t>_setr_OrderOriginatorEligibilityRule_</w:t>
    </w:r>
    <w:r w:rsidR="004719CD">
      <w:rPr>
        <w:noProof/>
      </w:rPr>
      <w:t>v</w:t>
    </w:r>
    <w:r>
      <w:rPr>
        <w:noProof/>
      </w:rPr>
      <w:t>2</w:t>
    </w:r>
    <w:r>
      <w:rPr>
        <w:noProof/>
      </w:rPr>
      <w:fldChar w:fldCharType="end"/>
    </w:r>
    <w:r w:rsidR="004306F6">
      <w:rPr>
        <w:b/>
      </w:rPr>
      <w:tab/>
    </w:r>
    <w:r w:rsidR="004306F6">
      <w:rPr>
        <w:lang w:val="en-US"/>
      </w:rPr>
      <w:t xml:space="preserve">Produced by SWIFT </w:t>
    </w:r>
    <w:r w:rsidR="004719CD"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>
      <w:rPr>
        <w:noProof/>
      </w:rPr>
      <w:t>7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DD518B" w:rsidP="006A79C3">
    <w:pPr>
      <w:pStyle w:val="FooterSwift"/>
      <w:tabs>
        <w:tab w:val="clear" w:pos="4200"/>
        <w:tab w:val="left" w:pos="3870"/>
        <w:tab w:val="left" w:pos="576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CR0559_SWIFT_IF_setr_OrderOriginatorEligibilityRule_v</w:t>
      </w:r>
      <w:r w:rsidR="00356A1A">
        <w:rPr>
          <w:noProof/>
        </w:rPr>
        <w:t>2</w:t>
      </w:r>
    </w:fldSimple>
    <w:r>
      <w:rPr>
        <w:noProof/>
      </w:rPr>
      <w:t xml:space="preserve">  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356A1A">
      <w:rPr>
        <w:noProof/>
      </w:rPr>
      <w:t>8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CD" w:rsidRDefault="004719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4719CD">
      <w:t>0559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CD" w:rsidRDefault="004719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0EE9"/>
    <w:rsid w:val="00123AA3"/>
    <w:rsid w:val="001D15C1"/>
    <w:rsid w:val="0021762E"/>
    <w:rsid w:val="00245DED"/>
    <w:rsid w:val="0028124A"/>
    <w:rsid w:val="002B710D"/>
    <w:rsid w:val="002E1E0E"/>
    <w:rsid w:val="00356A1A"/>
    <w:rsid w:val="0039241B"/>
    <w:rsid w:val="004273BC"/>
    <w:rsid w:val="004306F6"/>
    <w:rsid w:val="004635FB"/>
    <w:rsid w:val="004719CD"/>
    <w:rsid w:val="00494067"/>
    <w:rsid w:val="00547C26"/>
    <w:rsid w:val="006320B8"/>
    <w:rsid w:val="0063377B"/>
    <w:rsid w:val="00636FF4"/>
    <w:rsid w:val="006850E2"/>
    <w:rsid w:val="006866B7"/>
    <w:rsid w:val="006A79C3"/>
    <w:rsid w:val="006D5055"/>
    <w:rsid w:val="007D1A4F"/>
    <w:rsid w:val="007F50D7"/>
    <w:rsid w:val="008145F2"/>
    <w:rsid w:val="00881D5F"/>
    <w:rsid w:val="00887392"/>
    <w:rsid w:val="008D4F72"/>
    <w:rsid w:val="009466D1"/>
    <w:rsid w:val="009A3F92"/>
    <w:rsid w:val="009E22E7"/>
    <w:rsid w:val="009E446C"/>
    <w:rsid w:val="00A559B9"/>
    <w:rsid w:val="00A644DA"/>
    <w:rsid w:val="00A8644A"/>
    <w:rsid w:val="00AA0C8A"/>
    <w:rsid w:val="00AC03A6"/>
    <w:rsid w:val="00AE5B83"/>
    <w:rsid w:val="00B31E0C"/>
    <w:rsid w:val="00B404E0"/>
    <w:rsid w:val="00B70ED0"/>
    <w:rsid w:val="00C1762C"/>
    <w:rsid w:val="00CF0163"/>
    <w:rsid w:val="00D053B2"/>
    <w:rsid w:val="00D162E6"/>
    <w:rsid w:val="00D16CB4"/>
    <w:rsid w:val="00D32809"/>
    <w:rsid w:val="00D60CE5"/>
    <w:rsid w:val="00D84272"/>
    <w:rsid w:val="00D84D17"/>
    <w:rsid w:val="00DB0272"/>
    <w:rsid w:val="00DB3D24"/>
    <w:rsid w:val="00DD518B"/>
    <w:rsid w:val="00E308C7"/>
    <w:rsid w:val="00E564EF"/>
    <w:rsid w:val="00EA1FF5"/>
    <w:rsid w:val="00EE4835"/>
    <w:rsid w:val="00F11CA1"/>
    <w:rsid w:val="00F60FC6"/>
    <w:rsid w:val="00FB55BA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4</cp:revision>
  <dcterms:created xsi:type="dcterms:W3CDTF">2016-07-27T07:30:00Z</dcterms:created>
  <dcterms:modified xsi:type="dcterms:W3CDTF">2016-07-27T08:34:00Z</dcterms:modified>
</cp:coreProperties>
</file>