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D806EE" w:rsidRPr="00C61315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50"/>
        <w:gridCol w:w="1530"/>
        <w:gridCol w:w="270"/>
        <w:gridCol w:w="450"/>
        <w:gridCol w:w="2970"/>
        <w:gridCol w:w="1440"/>
      </w:tblGrid>
      <w:tr w:rsidR="00E564EF" w:rsidRPr="00DD2768" w:rsidTr="00C46CF5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564EF" w:rsidRPr="00DD2768" w:rsidRDefault="00E564EF" w:rsidP="00C46CF5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3F400B" w:rsidRPr="00744584" w:rsidTr="00C46CF5"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53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3F400B" w:rsidRPr="00744584" w:rsidRDefault="003F400B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440" w:type="dxa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3F400B" w:rsidRPr="00744584" w:rsidTr="00C46CF5"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3F400B" w:rsidRPr="00744584" w:rsidRDefault="003F400B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440" w:type="dxa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3F400B" w:rsidRPr="00744584" w:rsidTr="00C46CF5"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0" w:firstLine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25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  <w:shd w:val="clear" w:color="auto" w:fill="auto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3F400B" w:rsidRPr="00744584" w:rsidRDefault="003F400B" w:rsidP="00C46CF5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3F400B" w:rsidRPr="00744584" w:rsidRDefault="003F400B" w:rsidP="00E564EF">
            <w:pPr>
              <w:pStyle w:val="ListParagraph"/>
              <w:numPr>
                <w:ilvl w:val="0"/>
                <w:numId w:val="23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970" w:type="dxa"/>
          </w:tcPr>
          <w:p w:rsidR="003F400B" w:rsidRPr="00744584" w:rsidRDefault="003F400B" w:rsidP="00A9211E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440" w:type="dxa"/>
          </w:tcPr>
          <w:p w:rsidR="003F400B" w:rsidRPr="00744584" w:rsidRDefault="003F400B" w:rsidP="00A9211E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1173B4" w:rsidRDefault="001173B4" w:rsidP="00B4072C">
      <w:pPr>
        <w:ind w:left="0"/>
      </w:pPr>
      <w:r>
        <w:t>This change request is to add a missing rule.</w:t>
      </w:r>
    </w:p>
    <w:p w:rsidR="00B4072C" w:rsidRDefault="006D37A4" w:rsidP="00B4072C">
      <w:pPr>
        <w:ind w:left="0"/>
      </w:pPr>
      <w:r>
        <w:t>S</w:t>
      </w:r>
      <w:r w:rsidR="00697209">
        <w:t>oon after the release of the 2007 version of the order, status and confirmation messages, it was noticed that there is a missing rule</w:t>
      </w:r>
      <w:r w:rsidR="004F390C">
        <w:t xml:space="preserve">; a rule to say that </w:t>
      </w:r>
      <w:r w:rsidR="00FC4662">
        <w:t>if</w:t>
      </w:r>
      <w:r w:rsidR="00900539">
        <w:t>,</w:t>
      </w:r>
      <w:r w:rsidR="00B4072C">
        <w:t xml:space="preserve"> in the multiple execution details</w:t>
      </w:r>
      <w:proofErr w:type="gramStart"/>
      <w:r w:rsidR="00900539">
        <w:t>,</w:t>
      </w:r>
      <w:r w:rsidR="001173B4">
        <w:t xml:space="preserve"> </w:t>
      </w:r>
      <w:r w:rsidR="00B4072C">
        <w:t xml:space="preserve"> </w:t>
      </w:r>
      <w:r w:rsidR="004F390C">
        <w:t>s</w:t>
      </w:r>
      <w:r w:rsidR="001173B4">
        <w:t>ettlement</w:t>
      </w:r>
      <w:proofErr w:type="gramEnd"/>
      <w:r w:rsidR="001173B4">
        <w:t xml:space="preserve"> amount is specified</w:t>
      </w:r>
      <w:r w:rsidR="00B4072C">
        <w:t xml:space="preserve">  in more than one iteration of individual execution details,  and the cur</w:t>
      </w:r>
      <w:r w:rsidR="00900539">
        <w:t>r</w:t>
      </w:r>
      <w:r w:rsidR="00B4072C">
        <w:t>ency code is not the same, then the Cash Settlement Date at the level of the multiple execution is not allowed.</w:t>
      </w:r>
    </w:p>
    <w:p w:rsidR="006D37A4" w:rsidRDefault="006D37A4" w:rsidP="00B4072C">
      <w:pPr>
        <w:ind w:left="0"/>
      </w:pPr>
      <w:r w:rsidRPr="006D37A4">
        <w:t>As there was a maintenance freeze on the order, status and confirmation messages</w:t>
      </w:r>
      <w:proofErr w:type="gramStart"/>
      <w:r w:rsidRPr="006D37A4">
        <w:t>,  these</w:t>
      </w:r>
      <w:proofErr w:type="gramEnd"/>
      <w:r w:rsidRPr="006D37A4">
        <w:t xml:space="preserve"> missing rules have been published </w:t>
      </w:r>
      <w:r w:rsidR="00900539">
        <w:t xml:space="preserve">by SWIFT </w:t>
      </w:r>
      <w:r w:rsidRPr="006D37A4">
        <w:t xml:space="preserve">in an </w:t>
      </w:r>
      <w:hyperlink r:id="rId10" w:history="1">
        <w:r w:rsidRPr="006D37A4">
          <w:rPr>
            <w:rStyle w:val="Hyperlink"/>
          </w:rPr>
          <w:t xml:space="preserve">addendum to the </w:t>
        </w:r>
        <w:r w:rsidR="009541FD">
          <w:rPr>
            <w:rStyle w:val="Hyperlink"/>
          </w:rPr>
          <w:t xml:space="preserve">SWIFT </w:t>
        </w:r>
        <w:r w:rsidRPr="006D37A4">
          <w:rPr>
            <w:rStyle w:val="Hyperlink"/>
          </w:rPr>
          <w:t>funds user handbook</w:t>
        </w:r>
      </w:hyperlink>
      <w:r w:rsidRPr="006D37A4">
        <w:t>.</w:t>
      </w:r>
    </w:p>
    <w:p w:rsidR="00E37643" w:rsidRPr="00E37643" w:rsidRDefault="00E37643" w:rsidP="00E37643">
      <w:pPr>
        <w:ind w:left="0"/>
      </w:pPr>
      <w:r w:rsidRPr="00E37643">
        <w:t xml:space="preserve">This additional rule is </w:t>
      </w:r>
      <w:r>
        <w:t>relevant to</w:t>
      </w:r>
      <w:r w:rsidRPr="00E37643">
        <w:t xml:space="preserve"> single/multiple</w:t>
      </w:r>
      <w:r>
        <w:t xml:space="preserve"> confirmation</w:t>
      </w:r>
      <w:r w:rsidRPr="00E37643">
        <w:t xml:space="preserve"> messages, not the bulk messages.</w:t>
      </w:r>
    </w:p>
    <w:p w:rsidR="001D15C1" w:rsidRPr="00F11CA1" w:rsidRDefault="00E37643" w:rsidP="00D162E6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t xml:space="preserve"> </w:t>
      </w:r>
      <w:r w:rsidR="003F400B">
        <w:rPr>
          <w:b/>
          <w:szCs w:val="24"/>
        </w:rPr>
        <w:t>[1</w:t>
      </w:r>
      <w:r w:rsidR="00D162E6">
        <w:rPr>
          <w:b/>
          <w:szCs w:val="24"/>
        </w:rPr>
        <w:t>]</w:t>
      </w:r>
      <w:r w:rsidR="00D162E6">
        <w:rPr>
          <w:b/>
          <w:szCs w:val="24"/>
        </w:rPr>
        <w:tab/>
      </w:r>
      <w:r w:rsidR="001D15C1" w:rsidRPr="00F11CA1">
        <w:rPr>
          <w:b/>
          <w:szCs w:val="24"/>
        </w:rPr>
        <w:t>For setr.006, 012</w:t>
      </w:r>
      <w:r w:rsidR="002F7074">
        <w:rPr>
          <w:b/>
          <w:szCs w:val="24"/>
        </w:rPr>
        <w:t xml:space="preserve"> (confirmations)</w:t>
      </w:r>
    </w:p>
    <w:p w:rsidR="002A2A99" w:rsidRDefault="002A2A99" w:rsidP="002A2A99">
      <w:pPr>
        <w:ind w:left="0"/>
      </w:pPr>
      <w:r>
        <w:t xml:space="preserve">The rule is to be added </w:t>
      </w:r>
      <w:r w:rsidR="00900539">
        <w:t xml:space="preserve">in </w:t>
      </w:r>
      <w:r w:rsidR="00B36845">
        <w:t xml:space="preserve">the multiple </w:t>
      </w:r>
      <w:r w:rsidR="002F7074">
        <w:t xml:space="preserve">execution </w:t>
      </w:r>
      <w:r w:rsidR="00B36845">
        <w:t>details sequence</w:t>
      </w:r>
      <w:r>
        <w:t>.</w:t>
      </w:r>
    </w:p>
    <w:p w:rsidR="001D15C1" w:rsidRDefault="00346802" w:rsidP="00D162E6">
      <w:pPr>
        <w:spacing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5732780" cy="1971675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43" w:rsidRDefault="00E37643">
      <w:pPr>
        <w:suppressAutoHyphens w:val="0"/>
        <w:spacing w:before="0" w:after="0"/>
        <w:ind w:left="0"/>
        <w:rPr>
          <w:szCs w:val="24"/>
        </w:rPr>
      </w:pPr>
      <w:r>
        <w:rPr>
          <w:szCs w:val="24"/>
        </w:rPr>
        <w:br w:type="page"/>
      </w:r>
    </w:p>
    <w:p w:rsidR="00E37643" w:rsidRDefault="00E37643" w:rsidP="00D162E6">
      <w:pPr>
        <w:spacing w:after="240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7B488B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7B488B" w:rsidRPr="00EA1FF5" w:rsidRDefault="007B488B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7B488B" w:rsidRPr="00EA1FF5" w:rsidRDefault="007B488B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7B488B" w:rsidRPr="009A1EAC" w:rsidTr="00A9211E">
        <w:tc>
          <w:tcPr>
            <w:tcW w:w="2718" w:type="dxa"/>
          </w:tcPr>
          <w:p w:rsidR="007B488B" w:rsidRPr="00EA1FF5" w:rsidRDefault="003F400B" w:rsidP="003F400B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SettlementCurrency</w:t>
            </w:r>
            <w:r w:rsidR="007B488B">
              <w:rPr>
                <w:rFonts w:cstheme="minorHAnsi"/>
                <w:bCs/>
                <w:szCs w:val="22"/>
              </w:rPr>
              <w:t>Rule</w:t>
            </w:r>
            <w:proofErr w:type="spellEnd"/>
          </w:p>
        </w:tc>
        <w:tc>
          <w:tcPr>
            <w:tcW w:w="6525" w:type="dxa"/>
          </w:tcPr>
          <w:p w:rsidR="007B488B" w:rsidRPr="00EA1FF5" w:rsidRDefault="007B488B" w:rsidP="00900539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="003F400B"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="003F400B" w:rsidRPr="003F400B">
              <w:rPr>
                <w:rFonts w:cstheme="minorHAnsi"/>
                <w:bCs/>
                <w:szCs w:val="22"/>
              </w:rPr>
              <w:t xml:space="preserve">/Settlement Amount is present more than once and Currency is not the same in each </w:t>
            </w:r>
            <w:proofErr w:type="spellStart"/>
            <w:r w:rsidR="003F400B"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="003F400B" w:rsidRPr="003F400B">
              <w:rPr>
                <w:rFonts w:cstheme="minorHAnsi"/>
                <w:bCs/>
                <w:szCs w:val="22"/>
              </w:rPr>
              <w:t>/</w:t>
            </w:r>
            <w:proofErr w:type="spellStart"/>
            <w:r w:rsidR="003F400B" w:rsidRPr="003F400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="00B4072C">
              <w:rPr>
                <w:rFonts w:cstheme="minorHAnsi"/>
                <w:bCs/>
                <w:szCs w:val="22"/>
              </w:rPr>
              <w:t xml:space="preserve">, then </w:t>
            </w:r>
            <w:proofErr w:type="spellStart"/>
            <w:r w:rsidR="003F400B" w:rsidRPr="003F400B">
              <w:rPr>
                <w:rFonts w:cstheme="minorHAnsi"/>
                <w:bCs/>
                <w:szCs w:val="22"/>
              </w:rPr>
              <w:t>CashSettlementDate</w:t>
            </w:r>
            <w:proofErr w:type="spellEnd"/>
            <w:r w:rsidR="003F400B" w:rsidRPr="003F400B">
              <w:rPr>
                <w:rFonts w:cstheme="minorHAnsi"/>
                <w:bCs/>
                <w:szCs w:val="22"/>
              </w:rPr>
              <w:t xml:space="preserve"> is not allowed.</w:t>
            </w:r>
          </w:p>
        </w:tc>
      </w:tr>
    </w:tbl>
    <w:p w:rsidR="007B488B" w:rsidRDefault="002F7074" w:rsidP="007B488B">
      <w:pPr>
        <w:spacing w:before="240"/>
        <w:ind w:left="0"/>
        <w:rPr>
          <w:b/>
          <w:szCs w:val="24"/>
        </w:rPr>
      </w:pPr>
      <w:r>
        <w:rPr>
          <w:b/>
          <w:szCs w:val="24"/>
        </w:rPr>
        <w:t>[3</w:t>
      </w:r>
      <w:r w:rsidR="007B488B">
        <w:rPr>
          <w:b/>
          <w:szCs w:val="24"/>
        </w:rPr>
        <w:t>]</w:t>
      </w:r>
      <w:r w:rsidR="007B488B">
        <w:rPr>
          <w:b/>
          <w:szCs w:val="24"/>
        </w:rPr>
        <w:tab/>
      </w:r>
      <w:r w:rsidR="007B488B" w:rsidRPr="00F11CA1">
        <w:rPr>
          <w:b/>
          <w:szCs w:val="24"/>
        </w:rPr>
        <w:t xml:space="preserve">For setr.047, </w:t>
      </w:r>
      <w:r>
        <w:rPr>
          <w:b/>
          <w:szCs w:val="24"/>
        </w:rPr>
        <w:t>051 (confirmation cancellations)</w:t>
      </w:r>
    </w:p>
    <w:p w:rsidR="002F7074" w:rsidRDefault="002F7074" w:rsidP="002F7074">
      <w:pPr>
        <w:ind w:left="0"/>
      </w:pPr>
      <w:r>
        <w:t xml:space="preserve">The rule is to be added </w:t>
      </w:r>
      <w:r w:rsidR="00900539">
        <w:t xml:space="preserve">in </w:t>
      </w:r>
      <w:r>
        <w:t>the multiple execution details sequence.</w:t>
      </w:r>
    </w:p>
    <w:p w:rsidR="00D162E6" w:rsidRDefault="00346802" w:rsidP="002F7074">
      <w:pPr>
        <w:spacing w:before="240" w:after="240"/>
        <w:ind w:left="0"/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>
            <wp:extent cx="5725160" cy="4413250"/>
            <wp:effectExtent l="0" t="0" r="889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2F7074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2F7074" w:rsidRPr="009A1EAC" w:rsidTr="00A9211E">
        <w:tc>
          <w:tcPr>
            <w:tcW w:w="2718" w:type="dxa"/>
          </w:tcPr>
          <w:p w:rsidR="002F7074" w:rsidRPr="00EA1FF5" w:rsidRDefault="003F400B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SettlementCurrency</w:t>
            </w:r>
            <w:proofErr w:type="spellEnd"/>
            <w:r w:rsidR="002F7074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2F7074" w:rsidRPr="00EA1FF5" w:rsidRDefault="003F400B" w:rsidP="00900539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 xml:space="preserve">/Settlement Amount is present more than once and Currency is not the same in each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>/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 xml:space="preserve">, then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CashSettlementDate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 xml:space="preserve"> is not allowed.</w:t>
            </w:r>
          </w:p>
        </w:tc>
      </w:tr>
    </w:tbl>
    <w:p w:rsidR="002F7074" w:rsidRDefault="002F7074" w:rsidP="002F7074">
      <w:pPr>
        <w:spacing w:before="360"/>
        <w:ind w:left="0"/>
        <w:rPr>
          <w:b/>
          <w:szCs w:val="24"/>
        </w:rPr>
      </w:pPr>
      <w:r>
        <w:rPr>
          <w:b/>
          <w:szCs w:val="24"/>
        </w:rPr>
        <w:t>[4]</w:t>
      </w:r>
      <w:r>
        <w:rPr>
          <w:b/>
          <w:szCs w:val="24"/>
        </w:rPr>
        <w:tab/>
      </w:r>
      <w:r w:rsidRPr="00F11CA1">
        <w:rPr>
          <w:b/>
          <w:szCs w:val="24"/>
        </w:rPr>
        <w:t>For setr.</w:t>
      </w:r>
      <w:r>
        <w:rPr>
          <w:b/>
          <w:szCs w:val="24"/>
        </w:rPr>
        <w:t>048</w:t>
      </w:r>
      <w:r w:rsidRPr="00F11CA1">
        <w:rPr>
          <w:b/>
          <w:szCs w:val="24"/>
        </w:rPr>
        <w:t xml:space="preserve">, </w:t>
      </w:r>
      <w:r>
        <w:rPr>
          <w:b/>
          <w:szCs w:val="24"/>
        </w:rPr>
        <w:t>052 (confirmation amendments)</w:t>
      </w:r>
    </w:p>
    <w:p w:rsidR="003F400B" w:rsidRDefault="003F400B" w:rsidP="003F400B">
      <w:pPr>
        <w:ind w:left="0"/>
      </w:pPr>
      <w:r>
        <w:t>The rule is to be added</w:t>
      </w:r>
      <w:r w:rsidR="00900539">
        <w:t xml:space="preserve"> in</w:t>
      </w:r>
      <w:r>
        <w:t xml:space="preserve"> the multiple execution details sequence.</w:t>
      </w:r>
    </w:p>
    <w:p w:rsidR="002F7074" w:rsidRPr="00F11CA1" w:rsidRDefault="00346802" w:rsidP="002F7074">
      <w:pPr>
        <w:spacing w:before="240" w:after="240"/>
        <w:ind w:left="0"/>
        <w:rPr>
          <w:b/>
          <w:szCs w:val="24"/>
        </w:rPr>
      </w:pPr>
      <w:r>
        <w:rPr>
          <w:b/>
          <w:noProof/>
          <w:szCs w:val="24"/>
          <w:lang w:eastAsia="en-GB"/>
        </w:rPr>
        <w:lastRenderedPageBreak/>
        <w:drawing>
          <wp:inline distT="0" distB="0" distL="0" distR="0">
            <wp:extent cx="5741035" cy="3848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25"/>
      </w:tblGrid>
      <w:tr w:rsidR="002F7074" w:rsidRPr="00AC5DED" w:rsidTr="00A9211E">
        <w:trPr>
          <w:tblHeader/>
        </w:trPr>
        <w:tc>
          <w:tcPr>
            <w:tcW w:w="2718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Name</w:t>
            </w:r>
          </w:p>
        </w:tc>
        <w:tc>
          <w:tcPr>
            <w:tcW w:w="6525" w:type="dxa"/>
            <w:shd w:val="clear" w:color="auto" w:fill="D9D9D9" w:themeFill="background1" w:themeFillShade="D9"/>
          </w:tcPr>
          <w:p w:rsidR="002F7074" w:rsidRPr="00EA1FF5" w:rsidRDefault="002F7074" w:rsidP="00A9211E">
            <w:pPr>
              <w:spacing w:before="40" w:after="4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Rule Text</w:t>
            </w:r>
          </w:p>
        </w:tc>
      </w:tr>
      <w:tr w:rsidR="002F7074" w:rsidRPr="009A1EAC" w:rsidTr="00A9211E">
        <w:tc>
          <w:tcPr>
            <w:tcW w:w="2718" w:type="dxa"/>
          </w:tcPr>
          <w:p w:rsidR="002F7074" w:rsidRPr="00EA1FF5" w:rsidRDefault="003F400B" w:rsidP="00A9211E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proofErr w:type="spellStart"/>
            <w:r>
              <w:rPr>
                <w:rFonts w:cstheme="minorHAnsi"/>
                <w:bCs/>
                <w:szCs w:val="22"/>
              </w:rPr>
              <w:t>SettlementCurrency</w:t>
            </w:r>
            <w:proofErr w:type="spellEnd"/>
            <w:r w:rsidR="002F7074">
              <w:rPr>
                <w:rFonts w:cstheme="minorHAnsi"/>
                <w:bCs/>
                <w:szCs w:val="22"/>
              </w:rPr>
              <w:t xml:space="preserve"> Rule</w:t>
            </w:r>
          </w:p>
        </w:tc>
        <w:tc>
          <w:tcPr>
            <w:tcW w:w="6525" w:type="dxa"/>
          </w:tcPr>
          <w:p w:rsidR="002F7074" w:rsidRPr="00EA1FF5" w:rsidRDefault="003F400B" w:rsidP="00900539">
            <w:pPr>
              <w:spacing w:before="40" w:after="40"/>
              <w:ind w:left="0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If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 xml:space="preserve">/Settlement Amount is present more than once and Currency is not the same in each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IndividualExecutionDetails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>/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SettlementAmount</w:t>
            </w:r>
            <w:proofErr w:type="spellEnd"/>
            <w:r w:rsidR="00B4072C">
              <w:rPr>
                <w:rFonts w:cstheme="minorHAnsi"/>
                <w:bCs/>
                <w:szCs w:val="22"/>
              </w:rPr>
              <w:t xml:space="preserve">, then </w:t>
            </w:r>
            <w:proofErr w:type="spellStart"/>
            <w:r w:rsidRPr="003F400B">
              <w:rPr>
                <w:rFonts w:cstheme="minorHAnsi"/>
                <w:bCs/>
                <w:szCs w:val="22"/>
              </w:rPr>
              <w:t>CashSettlementDate</w:t>
            </w:r>
            <w:proofErr w:type="spellEnd"/>
            <w:r w:rsidRPr="003F400B">
              <w:rPr>
                <w:rFonts w:cstheme="minorHAnsi"/>
                <w:bCs/>
                <w:szCs w:val="22"/>
              </w:rPr>
              <w:t xml:space="preserve"> is not allowed.</w:t>
            </w:r>
          </w:p>
        </w:tc>
      </w:tr>
    </w:tbl>
    <w:p w:rsidR="002A2A99" w:rsidRDefault="00AF3EB0" w:rsidP="002A2A99">
      <w:pPr>
        <w:ind w:left="0"/>
      </w:pPr>
      <w:r w:rsidRPr="00346802">
        <w:t xml:space="preserve">With respect to changing rules that are described as text only into formally expressed rules that can be </w:t>
      </w:r>
      <w:r w:rsidR="009541FD" w:rsidRPr="00346802">
        <w:t>validated</w:t>
      </w:r>
      <w:r w:rsidRPr="00346802">
        <w:t xml:space="preserve"> in an automated way, the new </w:t>
      </w:r>
      <w:r w:rsidRPr="00346802">
        <w:rPr>
          <w:rFonts w:cstheme="minorHAnsi"/>
          <w:bCs/>
          <w:szCs w:val="22"/>
        </w:rPr>
        <w:t>Settlement Currency Rule</w:t>
      </w:r>
      <w:r w:rsidRPr="00346802">
        <w:rPr>
          <w:bCs/>
        </w:rPr>
        <w:t xml:space="preserve"> is not a rule that currently can be expressed formally because of the r</w:t>
      </w:r>
      <w:r w:rsidRPr="00346802">
        <w:t>epetitive nature of the sequences in which the concerned elements are located</w:t>
      </w:r>
      <w:r w:rsidR="00FC4662" w:rsidRPr="00346802">
        <w:t>.</w:t>
      </w:r>
    </w:p>
    <w:p w:rsidR="002A2A99" w:rsidRDefault="002A2A99" w:rsidP="002A2A99">
      <w:pPr>
        <w:ind w:left="0"/>
        <w:rPr>
          <w:szCs w:val="24"/>
        </w:rPr>
      </w:pPr>
      <w:r>
        <w:rPr>
          <w:szCs w:val="24"/>
        </w:rPr>
        <w:t>If the change request for the deletion of ‘cancel by details’ is agreed then this eli</w:t>
      </w:r>
      <w:r w:rsidR="00FC4662">
        <w:rPr>
          <w:szCs w:val="24"/>
        </w:rPr>
        <w:t>mi</w:t>
      </w:r>
      <w:r w:rsidR="00E37643">
        <w:rPr>
          <w:szCs w:val="24"/>
        </w:rPr>
        <w:t xml:space="preserve">nates the need for changes to </w:t>
      </w:r>
      <w:r>
        <w:rPr>
          <w:szCs w:val="24"/>
        </w:rPr>
        <w:t>setr.005, setr.011, setr.047, setr.048, setr.051, setr.052.</w:t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 xml:space="preserve">To </w:t>
      </w:r>
      <w:r w:rsidR="00FC4662">
        <w:rPr>
          <w:rFonts w:cstheme="minorHAnsi"/>
          <w:szCs w:val="22"/>
        </w:rPr>
        <w:t>add a missing cross element rule.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767163" w:rsidRDefault="00767163">
      <w:pPr>
        <w:suppressAutoHyphens w:val="0"/>
        <w:spacing w:before="0" w:after="0"/>
        <w:ind w:left="0"/>
        <w:rPr>
          <w:rFonts w:cs="Arial"/>
          <w:b/>
        </w:rPr>
      </w:pPr>
      <w:r>
        <w:rPr>
          <w:rFonts w:cs="Arial"/>
          <w:b/>
        </w:rPr>
        <w:br w:type="page"/>
      </w:r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lastRenderedPageBreak/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C46CF5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C46CF5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C46CF5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34672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72" w:rsidRDefault="00134672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2" w:rsidRDefault="00134672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E564EF" w:rsidRDefault="00E564EF" w:rsidP="00134672">
      <w:pPr>
        <w:ind w:left="0"/>
        <w:rPr>
          <w:rFonts w:ascii="Times New Roman" w:hAnsi="Times New Roman"/>
          <w:szCs w:val="22"/>
        </w:rPr>
      </w:pPr>
      <w:bookmarkStart w:id="0" w:name="_GoBack"/>
      <w:bookmarkEnd w:id="0"/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E0" w:rsidRDefault="00B404E0">
      <w:r>
        <w:separator/>
      </w:r>
    </w:p>
  </w:endnote>
  <w:endnote w:type="continuationSeparator" w:id="0">
    <w:p w:rsidR="00B404E0" w:rsidRDefault="00B4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72" w:rsidRDefault="00134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E" w:rsidRDefault="00E235AE" w:rsidP="00346802">
    <w:pPr>
      <w:pStyle w:val="FooterSwift"/>
      <w:tabs>
        <w:tab w:val="left" w:pos="5040"/>
        <w:tab w:val="left" w:pos="5400"/>
      </w:tabs>
      <w:ind w:left="0"/>
      <w:jc w:val="left"/>
      <w:rPr>
        <w:lang w:val="en-US"/>
      </w:rPr>
    </w:pPr>
    <w:r>
      <w:rPr>
        <w:lang w:val="fr-BE"/>
      </w:rPr>
      <w:fldChar w:fldCharType="begin"/>
    </w:r>
    <w:r w:rsidRPr="00E235AE">
      <w:instrText xml:space="preserve"> FILENAME   \* MERGEFORMAT </w:instrText>
    </w:r>
    <w:r>
      <w:rPr>
        <w:lang w:val="fr-BE"/>
      </w:rPr>
      <w:fldChar w:fldCharType="separate"/>
    </w:r>
    <w:r w:rsidR="00346802">
      <w:rPr>
        <w:noProof/>
      </w:rPr>
      <w:t>CR</w:t>
    </w:r>
    <w:r w:rsidR="00767163">
      <w:rPr>
        <w:noProof/>
      </w:rPr>
      <w:t>0556</w:t>
    </w:r>
    <w:r w:rsidR="00346802">
      <w:rPr>
        <w:noProof/>
      </w:rPr>
      <w:t>_SWIFT</w:t>
    </w:r>
    <w:r w:rsidR="00767163">
      <w:rPr>
        <w:noProof/>
      </w:rPr>
      <w:t>_IF</w:t>
    </w:r>
    <w:r w:rsidR="00346802">
      <w:rPr>
        <w:noProof/>
      </w:rPr>
      <w:t>_setr_SettAmountCurrencyRule_</w:t>
    </w:r>
    <w:r w:rsidR="00767163">
      <w:rPr>
        <w:noProof/>
      </w:rPr>
      <w:t>v</w:t>
    </w:r>
    <w:r w:rsidR="00134672">
      <w:rPr>
        <w:noProof/>
      </w:rPr>
      <w:t>2</w:t>
    </w:r>
    <w:r>
      <w:rPr>
        <w:lang w:val="fr-BE"/>
      </w:rPr>
      <w:fldChar w:fldCharType="end"/>
    </w:r>
    <w:r w:rsidRPr="00E235AE">
      <w:tab/>
    </w:r>
    <w:r w:rsidR="0039241B">
      <w:rPr>
        <w:lang w:val="en-US"/>
      </w:rPr>
      <w:tab/>
      <w:t>Produced by</w:t>
    </w:r>
    <w:r>
      <w:rPr>
        <w:lang w:val="en-US"/>
      </w:rPr>
      <w:t xml:space="preserve"> SWIFT </w:t>
    </w:r>
    <w:r w:rsidR="00767163">
      <w:rPr>
        <w:lang w:val="en-US"/>
      </w:rPr>
      <w:t>on 11 Apr 16</w:t>
    </w:r>
    <w:r w:rsidR="0039241B">
      <w:rPr>
        <w:lang w:val="en-US"/>
      </w:rPr>
      <w:tab/>
    </w:r>
    <w:r w:rsidR="0039241B">
      <w:t xml:space="preserve">Page </w:t>
    </w:r>
    <w:r w:rsidR="0039241B">
      <w:fldChar w:fldCharType="begin"/>
    </w:r>
    <w:r w:rsidR="0039241B">
      <w:instrText xml:space="preserve"> PAGE   \* MERGEFORMAT </w:instrText>
    </w:r>
    <w:r w:rsidR="0039241B">
      <w:fldChar w:fldCharType="separate"/>
    </w:r>
    <w:r w:rsidR="00134672">
      <w:rPr>
        <w:noProof/>
      </w:rPr>
      <w:t>4</w:t>
    </w:r>
    <w:r w:rsidR="0039241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72" w:rsidRDefault="00134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E0" w:rsidRDefault="00B404E0">
      <w:r>
        <w:separator/>
      </w:r>
    </w:p>
  </w:footnote>
  <w:footnote w:type="continuationSeparator" w:id="0">
    <w:p w:rsidR="00B404E0" w:rsidRDefault="00B4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72" w:rsidRDefault="001346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E6" w:rsidRDefault="00E235AE" w:rsidP="00E235AE">
    <w:pPr>
      <w:pStyle w:val="Header"/>
      <w:ind w:left="0"/>
    </w:pPr>
    <w:r w:rsidRPr="00E235AE">
      <w:t>RA ID: CR</w:t>
    </w:r>
    <w:r w:rsidR="00767163">
      <w:t>0556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72" w:rsidRDefault="00134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8"/>
  </w:num>
  <w:num w:numId="21">
    <w:abstractNumId w:val="5"/>
  </w:num>
  <w:num w:numId="22">
    <w:abstractNumId w:val="9"/>
  </w:num>
  <w:num w:numId="23">
    <w:abstractNumId w:val="2"/>
  </w:num>
  <w:num w:numId="24">
    <w:abstractNumId w:val="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F1908"/>
    <w:rsid w:val="00111B43"/>
    <w:rsid w:val="001173B4"/>
    <w:rsid w:val="00134672"/>
    <w:rsid w:val="001D15C1"/>
    <w:rsid w:val="0021762E"/>
    <w:rsid w:val="002A2A99"/>
    <w:rsid w:val="002B710D"/>
    <w:rsid w:val="002F7074"/>
    <w:rsid w:val="00346802"/>
    <w:rsid w:val="0039241B"/>
    <w:rsid w:val="003E1C5B"/>
    <w:rsid w:val="003F400B"/>
    <w:rsid w:val="004F390C"/>
    <w:rsid w:val="005B5194"/>
    <w:rsid w:val="00636FF4"/>
    <w:rsid w:val="006850E2"/>
    <w:rsid w:val="00697209"/>
    <w:rsid w:val="006D37A4"/>
    <w:rsid w:val="006F7FF9"/>
    <w:rsid w:val="00767163"/>
    <w:rsid w:val="007B488B"/>
    <w:rsid w:val="008D4F72"/>
    <w:rsid w:val="00900539"/>
    <w:rsid w:val="009541FD"/>
    <w:rsid w:val="009A3F92"/>
    <w:rsid w:val="009E22E7"/>
    <w:rsid w:val="00A559B9"/>
    <w:rsid w:val="00A644DA"/>
    <w:rsid w:val="00AF3EB0"/>
    <w:rsid w:val="00B06DA3"/>
    <w:rsid w:val="00B12824"/>
    <w:rsid w:val="00B31E0C"/>
    <w:rsid w:val="00B36600"/>
    <w:rsid w:val="00B36845"/>
    <w:rsid w:val="00B404E0"/>
    <w:rsid w:val="00B4072C"/>
    <w:rsid w:val="00B4159D"/>
    <w:rsid w:val="00B70ED0"/>
    <w:rsid w:val="00C1762C"/>
    <w:rsid w:val="00CF0163"/>
    <w:rsid w:val="00D162E6"/>
    <w:rsid w:val="00D32809"/>
    <w:rsid w:val="00D60CE5"/>
    <w:rsid w:val="00D806EE"/>
    <w:rsid w:val="00DA28A4"/>
    <w:rsid w:val="00DB3D24"/>
    <w:rsid w:val="00E235AE"/>
    <w:rsid w:val="00E37643"/>
    <w:rsid w:val="00E564EF"/>
    <w:rsid w:val="00E60DFA"/>
    <w:rsid w:val="00EA1FF5"/>
    <w:rsid w:val="00F11CA1"/>
    <w:rsid w:val="00F41E1C"/>
    <w:rsid w:val="00F60FC6"/>
    <w:rsid w:val="00F92FD7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5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539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539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900539"/>
    <w:rPr>
      <w:rFonts w:asciiTheme="minorHAnsi" w:hAnsiTheme="minorHAnsi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5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539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539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900539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2.swift.com/uhbonline/books/protected/en_uk/funds_4_8_msg_def_rpt_sch/sr2015_mx_funds_4dot8_updates_solution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2016-07-27T07:23:00Z</dcterms:created>
  <dcterms:modified xsi:type="dcterms:W3CDTF">2016-07-27T07:25:00Z</dcterms:modified>
</cp:coreProperties>
</file>