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D09D0" w14:textId="77777777" w:rsidR="00865C2F" w:rsidRPr="00BC6F92" w:rsidRDefault="00DD37B4" w:rsidP="00BC3FD9">
      <w:pPr>
        <w:jc w:val="center"/>
        <w:rPr>
          <w:b/>
          <w:iCs/>
          <w:smallCaps/>
          <w:sz w:val="23"/>
          <w:szCs w:val="23"/>
          <w:lang w:val="en-GB"/>
        </w:rPr>
      </w:pPr>
      <w:r w:rsidRPr="00BC6F92">
        <w:rPr>
          <w:b/>
          <w:smallCaps/>
          <w:sz w:val="23"/>
          <w:szCs w:val="23"/>
          <w:lang w:val="en-GB"/>
        </w:rPr>
        <w:t>Change Request</w:t>
      </w:r>
    </w:p>
    <w:p w14:paraId="0B6E5186" w14:textId="77777777" w:rsidR="00F91F93" w:rsidRPr="00BC6F92" w:rsidRDefault="00324C6F" w:rsidP="00BC3FD9">
      <w:pPr>
        <w:jc w:val="center"/>
        <w:rPr>
          <w:b/>
          <w:smallCaps/>
          <w:sz w:val="23"/>
          <w:szCs w:val="23"/>
          <w:lang w:val="en-GB"/>
        </w:rPr>
      </w:pPr>
      <w:r w:rsidRPr="00BC6F92">
        <w:rPr>
          <w:b/>
          <w:smallCaps/>
          <w:sz w:val="23"/>
          <w:szCs w:val="23"/>
          <w:lang w:val="en-GB"/>
        </w:rPr>
        <w:t xml:space="preserve">for the update of </w:t>
      </w:r>
      <w:r w:rsidR="00865C2F" w:rsidRPr="00BC6F92">
        <w:rPr>
          <w:b/>
          <w:smallCaps/>
          <w:sz w:val="23"/>
          <w:szCs w:val="23"/>
          <w:lang w:val="en-GB"/>
        </w:rPr>
        <w:t>ISO 20022 financial repository</w:t>
      </w:r>
      <w:r w:rsidR="00DD37B4" w:rsidRPr="00BC6F92">
        <w:rPr>
          <w:b/>
          <w:smallCaps/>
          <w:sz w:val="23"/>
          <w:szCs w:val="23"/>
          <w:lang w:val="en-GB"/>
        </w:rPr>
        <w:t xml:space="preserve"> items</w:t>
      </w:r>
    </w:p>
    <w:p w14:paraId="223A36CE" w14:textId="77777777" w:rsidR="005144D6" w:rsidRPr="00BC6F92" w:rsidRDefault="005144D6" w:rsidP="00BC3FD9">
      <w:pPr>
        <w:ind w:left="360"/>
        <w:jc w:val="both"/>
        <w:rPr>
          <w:b/>
          <w:sz w:val="23"/>
          <w:szCs w:val="23"/>
          <w:lang w:val="en-GB"/>
        </w:rPr>
      </w:pPr>
    </w:p>
    <w:p w14:paraId="2E554E5C" w14:textId="77777777" w:rsidR="00865C2F" w:rsidRPr="00BC6F92" w:rsidRDefault="0006293F" w:rsidP="00BC3FD9">
      <w:pPr>
        <w:numPr>
          <w:ilvl w:val="0"/>
          <w:numId w:val="6"/>
        </w:numPr>
        <w:jc w:val="both"/>
        <w:rPr>
          <w:b/>
          <w:sz w:val="23"/>
          <w:szCs w:val="23"/>
          <w:lang w:val="en-GB"/>
        </w:rPr>
      </w:pPr>
      <w:r w:rsidRPr="00BC6F92">
        <w:rPr>
          <w:b/>
          <w:sz w:val="23"/>
          <w:szCs w:val="23"/>
          <w:lang w:val="en-GB"/>
        </w:rPr>
        <w:t xml:space="preserve">Origin of the </w:t>
      </w:r>
      <w:r w:rsidR="00D123C1" w:rsidRPr="00BC6F92">
        <w:rPr>
          <w:b/>
          <w:sz w:val="23"/>
          <w:szCs w:val="23"/>
          <w:lang w:val="en-GB"/>
        </w:rPr>
        <w:t>request:</w:t>
      </w:r>
    </w:p>
    <w:p w14:paraId="19ABEAE1" w14:textId="77777777" w:rsidR="00C57050" w:rsidRPr="00BC6F92" w:rsidRDefault="008438AF" w:rsidP="00BC3FD9">
      <w:pPr>
        <w:jc w:val="both"/>
        <w:rPr>
          <w:i/>
          <w:sz w:val="23"/>
          <w:szCs w:val="23"/>
          <w:lang w:val="en-GB"/>
        </w:rPr>
      </w:pPr>
      <w:r w:rsidRPr="00BC6F92">
        <w:rPr>
          <w:i/>
          <w:sz w:val="23"/>
          <w:szCs w:val="23"/>
          <w:lang w:val="en-GB"/>
        </w:rPr>
        <w:t>A.1 Submitter:</w:t>
      </w:r>
      <w:r w:rsidR="005144D6" w:rsidRPr="00BC6F92">
        <w:rPr>
          <w:i/>
          <w:sz w:val="23"/>
          <w:szCs w:val="23"/>
          <w:lang w:val="en-GB"/>
        </w:rPr>
        <w:t xml:space="preserve"> </w:t>
      </w:r>
    </w:p>
    <w:p w14:paraId="735E69D7" w14:textId="32B521D8" w:rsidR="00C57050" w:rsidRPr="00BC6F92" w:rsidRDefault="00C57050" w:rsidP="00BC3FD9">
      <w:pPr>
        <w:jc w:val="both"/>
        <w:rPr>
          <w:sz w:val="23"/>
          <w:szCs w:val="23"/>
          <w:lang w:val="en-GB"/>
        </w:rPr>
      </w:pPr>
      <w:r w:rsidRPr="00BC6F92">
        <w:rPr>
          <w:sz w:val="23"/>
          <w:szCs w:val="23"/>
          <w:lang w:val="en-GB"/>
        </w:rPr>
        <w:t>- Deutsche Bundesbank, on behalf of the Eurosystem</w:t>
      </w:r>
    </w:p>
    <w:p w14:paraId="080F4E7A" w14:textId="77777777" w:rsidR="00C57050" w:rsidRPr="00BC6F92" w:rsidRDefault="00C57050" w:rsidP="00BC3FD9">
      <w:pPr>
        <w:jc w:val="both"/>
        <w:rPr>
          <w:sz w:val="23"/>
          <w:szCs w:val="23"/>
          <w:lang w:val="en-GB"/>
        </w:rPr>
      </w:pPr>
      <w:r w:rsidRPr="00BC6F92">
        <w:rPr>
          <w:sz w:val="23"/>
          <w:szCs w:val="23"/>
          <w:lang w:val="en-GB"/>
        </w:rPr>
        <w:t>- TARGET2-Securities Project</w:t>
      </w:r>
    </w:p>
    <w:p w14:paraId="4E424B0D" w14:textId="77777777" w:rsidR="00C57050" w:rsidRPr="00BC6F92" w:rsidRDefault="00C57050" w:rsidP="00BC3FD9">
      <w:pPr>
        <w:jc w:val="both"/>
        <w:rPr>
          <w:sz w:val="23"/>
          <w:szCs w:val="23"/>
          <w:lang w:val="en-GB"/>
        </w:rPr>
      </w:pPr>
    </w:p>
    <w:p w14:paraId="60461C6B" w14:textId="77777777" w:rsidR="00C57050" w:rsidRPr="00BC6F92" w:rsidRDefault="000408BA" w:rsidP="00BC3FD9">
      <w:pPr>
        <w:jc w:val="both"/>
        <w:rPr>
          <w:i/>
          <w:sz w:val="23"/>
          <w:szCs w:val="23"/>
          <w:lang w:val="en-GB"/>
        </w:rPr>
      </w:pPr>
      <w:r w:rsidRPr="00BC6F92">
        <w:rPr>
          <w:i/>
          <w:sz w:val="23"/>
          <w:szCs w:val="23"/>
          <w:lang w:val="en-GB"/>
        </w:rPr>
        <w:t xml:space="preserve">A.2 </w:t>
      </w:r>
      <w:r w:rsidR="00CC68E1" w:rsidRPr="00BC6F92">
        <w:rPr>
          <w:i/>
          <w:sz w:val="23"/>
          <w:szCs w:val="23"/>
          <w:lang w:val="en-GB"/>
        </w:rPr>
        <w:t>C</w:t>
      </w:r>
      <w:r w:rsidRPr="00BC6F92">
        <w:rPr>
          <w:i/>
          <w:sz w:val="23"/>
          <w:szCs w:val="23"/>
          <w:lang w:val="en-GB"/>
        </w:rPr>
        <w:t>ontact person:</w:t>
      </w:r>
      <w:r w:rsidR="008438AF" w:rsidRPr="00BC6F92">
        <w:rPr>
          <w:i/>
          <w:sz w:val="23"/>
          <w:szCs w:val="23"/>
          <w:lang w:val="en-GB"/>
        </w:rPr>
        <w:t xml:space="preserve"> </w:t>
      </w:r>
    </w:p>
    <w:p w14:paraId="7CBD27E2" w14:textId="5B6FD44D" w:rsidR="00C57050" w:rsidRPr="00BC6F92" w:rsidRDefault="00C57050" w:rsidP="00BC3FD9">
      <w:pPr>
        <w:jc w:val="both"/>
        <w:rPr>
          <w:sz w:val="23"/>
          <w:szCs w:val="23"/>
          <w:lang w:val="en-GB"/>
        </w:rPr>
      </w:pPr>
      <w:r w:rsidRPr="00BC6F92">
        <w:rPr>
          <w:sz w:val="23"/>
          <w:szCs w:val="23"/>
          <w:lang w:val="en-GB"/>
        </w:rPr>
        <w:t>- Joachim Boening</w:t>
      </w:r>
      <w:r w:rsidR="00A32316" w:rsidRPr="00BC6F92">
        <w:rPr>
          <w:sz w:val="23"/>
          <w:szCs w:val="23"/>
          <w:lang w:val="en-GB"/>
        </w:rPr>
        <w:t xml:space="preserve"> / Alex</w:t>
      </w:r>
      <w:r w:rsidR="00DC0D99" w:rsidRPr="00BC6F92">
        <w:rPr>
          <w:sz w:val="23"/>
          <w:szCs w:val="23"/>
          <w:lang w:val="en-GB"/>
        </w:rPr>
        <w:t>ander</w:t>
      </w:r>
      <w:r w:rsidR="00A32316" w:rsidRPr="00BC6F92">
        <w:rPr>
          <w:sz w:val="23"/>
          <w:szCs w:val="23"/>
          <w:lang w:val="en-GB"/>
        </w:rPr>
        <w:t xml:space="preserve"> Topel</w:t>
      </w:r>
    </w:p>
    <w:p w14:paraId="1E567330" w14:textId="77777777" w:rsidR="00C57050" w:rsidRPr="00BC6F92" w:rsidRDefault="00C57050" w:rsidP="00BC3FD9">
      <w:pPr>
        <w:jc w:val="both"/>
        <w:rPr>
          <w:sz w:val="23"/>
          <w:szCs w:val="23"/>
          <w:lang w:val="en-GB"/>
        </w:rPr>
      </w:pPr>
      <w:r w:rsidRPr="00BC6F92">
        <w:rPr>
          <w:sz w:val="23"/>
          <w:szCs w:val="23"/>
          <w:lang w:val="en-GB"/>
        </w:rPr>
        <w:t>- +49 69 – 9566 6839</w:t>
      </w:r>
      <w:r w:rsidR="00A32316" w:rsidRPr="00BC6F92">
        <w:rPr>
          <w:sz w:val="23"/>
          <w:szCs w:val="23"/>
          <w:lang w:val="en-GB"/>
        </w:rPr>
        <w:t xml:space="preserve"> / +49 69 – 9566 8184</w:t>
      </w:r>
    </w:p>
    <w:p w14:paraId="17776247" w14:textId="5A01F47D" w:rsidR="000642EA" w:rsidRPr="00BC6F92" w:rsidRDefault="000642EA" w:rsidP="00BC3FD9">
      <w:pPr>
        <w:jc w:val="both"/>
        <w:rPr>
          <w:sz w:val="23"/>
          <w:szCs w:val="23"/>
          <w:lang w:val="en-GB"/>
        </w:rPr>
      </w:pPr>
      <w:r w:rsidRPr="00BC6F92">
        <w:rPr>
          <w:sz w:val="23"/>
          <w:szCs w:val="23"/>
          <w:lang w:val="en-GB"/>
        </w:rPr>
        <w:t>- T2S-FAM@bundesbank.de</w:t>
      </w:r>
    </w:p>
    <w:p w14:paraId="758DB919" w14:textId="77777777" w:rsidR="00C57050" w:rsidRPr="00BC6F92" w:rsidRDefault="00C57050" w:rsidP="00BC3FD9">
      <w:pPr>
        <w:jc w:val="both"/>
        <w:rPr>
          <w:sz w:val="23"/>
          <w:szCs w:val="23"/>
          <w:lang w:val="en-GB"/>
        </w:rPr>
      </w:pPr>
    </w:p>
    <w:p w14:paraId="5902EAEB" w14:textId="05432368" w:rsidR="00C57050" w:rsidRPr="00BC6F92" w:rsidRDefault="008438AF" w:rsidP="00BC3FD9">
      <w:pPr>
        <w:jc w:val="both"/>
        <w:rPr>
          <w:i/>
          <w:sz w:val="23"/>
          <w:szCs w:val="23"/>
          <w:lang w:val="en-GB"/>
        </w:rPr>
      </w:pPr>
      <w:r w:rsidRPr="00BC6F92">
        <w:rPr>
          <w:i/>
          <w:sz w:val="23"/>
          <w:szCs w:val="23"/>
          <w:lang w:val="en-GB"/>
        </w:rPr>
        <w:t>A.</w:t>
      </w:r>
      <w:r w:rsidR="000408BA" w:rsidRPr="00BC6F92">
        <w:rPr>
          <w:i/>
          <w:sz w:val="23"/>
          <w:szCs w:val="23"/>
          <w:lang w:val="en-GB"/>
        </w:rPr>
        <w:t>3</w:t>
      </w:r>
      <w:r w:rsidRPr="00BC6F92">
        <w:rPr>
          <w:i/>
          <w:sz w:val="23"/>
          <w:szCs w:val="23"/>
          <w:lang w:val="en-GB"/>
        </w:rPr>
        <w:t xml:space="preserve"> </w:t>
      </w:r>
      <w:r w:rsidR="0006293F" w:rsidRPr="00BC6F92">
        <w:rPr>
          <w:i/>
          <w:sz w:val="23"/>
          <w:szCs w:val="23"/>
          <w:lang w:val="en-GB"/>
        </w:rPr>
        <w:t>Sponsors:</w:t>
      </w:r>
      <w:r w:rsidRPr="00BC6F92">
        <w:rPr>
          <w:i/>
          <w:sz w:val="23"/>
          <w:szCs w:val="23"/>
          <w:lang w:val="en-GB"/>
        </w:rPr>
        <w:t xml:space="preserve"> </w:t>
      </w:r>
    </w:p>
    <w:p w14:paraId="5FFB1681" w14:textId="0240A694" w:rsidR="00C57050" w:rsidRPr="00BC6F92" w:rsidRDefault="00C57050" w:rsidP="00BC3FD9">
      <w:pPr>
        <w:jc w:val="both"/>
        <w:rPr>
          <w:sz w:val="23"/>
          <w:szCs w:val="23"/>
          <w:lang w:val="en-GB"/>
        </w:rPr>
      </w:pPr>
      <w:r w:rsidRPr="00BC6F92">
        <w:rPr>
          <w:sz w:val="23"/>
          <w:szCs w:val="23"/>
          <w:lang w:val="en-GB"/>
        </w:rPr>
        <w:t xml:space="preserve">- </w:t>
      </w:r>
      <w:r w:rsidR="007E7D6D" w:rsidRPr="00BC6F92">
        <w:rPr>
          <w:sz w:val="23"/>
          <w:szCs w:val="23"/>
          <w:lang w:val="en-GB"/>
        </w:rPr>
        <w:t>BNY Mellon</w:t>
      </w:r>
      <w:r w:rsidR="00691ECC" w:rsidRPr="00BC6F92">
        <w:rPr>
          <w:sz w:val="23"/>
          <w:szCs w:val="23"/>
          <w:lang w:val="en-GB"/>
        </w:rPr>
        <w:t>;</w:t>
      </w:r>
      <w:r w:rsidRPr="00BC6F92">
        <w:rPr>
          <w:sz w:val="23"/>
          <w:szCs w:val="23"/>
          <w:lang w:val="en-GB"/>
        </w:rPr>
        <w:t xml:space="preserve"> </w:t>
      </w:r>
      <w:r w:rsidR="007E7D6D" w:rsidRPr="00BC6F92">
        <w:rPr>
          <w:sz w:val="23"/>
          <w:szCs w:val="23"/>
          <w:lang w:val="en-GB"/>
        </w:rPr>
        <w:t>James Cunningham</w:t>
      </w:r>
      <w:r w:rsidR="00A32316" w:rsidRPr="00BC6F92">
        <w:rPr>
          <w:sz w:val="23"/>
          <w:szCs w:val="23"/>
          <w:lang w:val="en-GB"/>
        </w:rPr>
        <w:t xml:space="preserve"> - </w:t>
      </w:r>
      <w:r w:rsidR="007E7D6D" w:rsidRPr="00BC6F92">
        <w:rPr>
          <w:sz w:val="23"/>
          <w:szCs w:val="23"/>
          <w:lang w:val="en-GB"/>
        </w:rPr>
        <w:t>james.cunningham1@bnymellon.com</w:t>
      </w:r>
    </w:p>
    <w:p w14:paraId="3E9B4A99" w14:textId="77777777" w:rsidR="00C57050" w:rsidRPr="00BC6F92" w:rsidRDefault="00C57050" w:rsidP="00BC3FD9">
      <w:pPr>
        <w:jc w:val="both"/>
        <w:rPr>
          <w:sz w:val="23"/>
          <w:szCs w:val="23"/>
          <w:lang w:val="en-GB"/>
        </w:rPr>
      </w:pPr>
      <w:r w:rsidRPr="00BC6F92">
        <w:rPr>
          <w:sz w:val="23"/>
          <w:szCs w:val="23"/>
          <w:lang w:val="en-GB"/>
        </w:rPr>
        <w:t>- European Central Bank; Karen Birkel</w:t>
      </w:r>
      <w:r w:rsidR="00A32316" w:rsidRPr="00BC6F92">
        <w:rPr>
          <w:sz w:val="23"/>
          <w:szCs w:val="23"/>
          <w:lang w:val="en-GB"/>
        </w:rPr>
        <w:t xml:space="preserve"> - karen.birkel@ecb.int</w:t>
      </w:r>
    </w:p>
    <w:p w14:paraId="6689B376" w14:textId="77777777" w:rsidR="00C57050" w:rsidRPr="00BC6F92" w:rsidRDefault="00C57050" w:rsidP="00BC3FD9">
      <w:pPr>
        <w:jc w:val="both"/>
        <w:rPr>
          <w:sz w:val="23"/>
          <w:szCs w:val="23"/>
          <w:lang w:val="en-GB"/>
        </w:rPr>
      </w:pPr>
      <w:r w:rsidRPr="00BC6F92">
        <w:rPr>
          <w:sz w:val="23"/>
          <w:szCs w:val="23"/>
          <w:lang w:val="en-GB"/>
        </w:rPr>
        <w:t>- TARGET2-Securities Community</w:t>
      </w:r>
    </w:p>
    <w:p w14:paraId="4BB69493" w14:textId="77777777" w:rsidR="00C57050" w:rsidRPr="00BC6F92" w:rsidRDefault="00C57050" w:rsidP="00BC3FD9">
      <w:pPr>
        <w:jc w:val="both"/>
        <w:rPr>
          <w:sz w:val="23"/>
          <w:szCs w:val="23"/>
          <w:lang w:val="en-GB"/>
        </w:rPr>
      </w:pPr>
    </w:p>
    <w:p w14:paraId="366EBC05" w14:textId="77777777" w:rsidR="00C57050" w:rsidRPr="00BC6F92" w:rsidRDefault="00854FA6" w:rsidP="00BC3FD9">
      <w:pPr>
        <w:numPr>
          <w:ilvl w:val="0"/>
          <w:numId w:val="6"/>
        </w:numPr>
        <w:jc w:val="both"/>
        <w:rPr>
          <w:b/>
          <w:sz w:val="23"/>
          <w:szCs w:val="23"/>
          <w:lang w:val="en-GB"/>
        </w:rPr>
      </w:pPr>
      <w:r w:rsidRPr="00BC6F92">
        <w:rPr>
          <w:b/>
          <w:sz w:val="23"/>
          <w:szCs w:val="23"/>
          <w:lang w:val="en-GB"/>
        </w:rPr>
        <w:t>Related messages:</w:t>
      </w:r>
    </w:p>
    <w:p w14:paraId="3592CF51" w14:textId="267E35E0" w:rsidR="00C57050" w:rsidRPr="00BC6F92" w:rsidRDefault="00C57050" w:rsidP="00C73712">
      <w:pPr>
        <w:jc w:val="both"/>
        <w:rPr>
          <w:sz w:val="23"/>
          <w:szCs w:val="23"/>
          <w:lang w:val="en-GB"/>
        </w:rPr>
      </w:pPr>
      <w:r w:rsidRPr="00BC6F92">
        <w:rPr>
          <w:sz w:val="23"/>
          <w:szCs w:val="23"/>
          <w:lang w:val="en-GB"/>
        </w:rPr>
        <w:t xml:space="preserve">- </w:t>
      </w:r>
      <w:r w:rsidR="00C91042" w:rsidRPr="00BC6F92">
        <w:rPr>
          <w:sz w:val="23"/>
          <w:szCs w:val="23"/>
          <w:lang w:val="en-GB"/>
        </w:rPr>
        <w:t>sese.024.001.06 - SecuritiesSettlementTransactionStatusAdviceV06</w:t>
      </w:r>
    </w:p>
    <w:p w14:paraId="311AF1E8" w14:textId="4D0FEE0D" w:rsidR="00C91042" w:rsidRPr="00BC6F92" w:rsidRDefault="00C91042" w:rsidP="00C73712">
      <w:pPr>
        <w:jc w:val="both"/>
        <w:rPr>
          <w:sz w:val="23"/>
          <w:szCs w:val="23"/>
          <w:lang w:val="en-GB"/>
        </w:rPr>
      </w:pPr>
      <w:r w:rsidRPr="00BC6F92">
        <w:rPr>
          <w:sz w:val="23"/>
          <w:szCs w:val="23"/>
          <w:lang w:val="en-GB"/>
        </w:rPr>
        <w:t>- sese.025.001.05 - SecuritiesSettlementTransactionConfirmationV05</w:t>
      </w:r>
    </w:p>
    <w:p w14:paraId="688CFE7D" w14:textId="77777777" w:rsidR="00C91042" w:rsidRPr="00BC6F92" w:rsidRDefault="00C91042" w:rsidP="00C73712">
      <w:pPr>
        <w:ind w:left="360"/>
        <w:jc w:val="both"/>
        <w:rPr>
          <w:sz w:val="23"/>
          <w:szCs w:val="23"/>
          <w:lang w:val="en-GB"/>
        </w:rPr>
      </w:pPr>
    </w:p>
    <w:p w14:paraId="5C282373" w14:textId="77777777" w:rsidR="00854FA6" w:rsidRPr="00BC6F92" w:rsidRDefault="006D4A37" w:rsidP="00C73712">
      <w:pPr>
        <w:numPr>
          <w:ilvl w:val="0"/>
          <w:numId w:val="6"/>
        </w:numPr>
        <w:jc w:val="both"/>
        <w:rPr>
          <w:sz w:val="23"/>
          <w:szCs w:val="23"/>
          <w:lang w:val="en-GB"/>
        </w:rPr>
      </w:pPr>
      <w:r w:rsidRPr="00BC6F92">
        <w:rPr>
          <w:b/>
          <w:sz w:val="23"/>
          <w:szCs w:val="23"/>
          <w:lang w:val="en-GB"/>
        </w:rPr>
        <w:t>Description of the change request:</w:t>
      </w:r>
    </w:p>
    <w:p w14:paraId="16459BAA" w14:textId="77777777" w:rsidR="005968BB" w:rsidRPr="00BC6F92" w:rsidRDefault="005968BB" w:rsidP="00C73712">
      <w:pPr>
        <w:jc w:val="both"/>
        <w:rPr>
          <w:b/>
          <w:sz w:val="23"/>
          <w:szCs w:val="23"/>
          <w:lang w:val="en-GB"/>
        </w:rPr>
      </w:pPr>
    </w:p>
    <w:p w14:paraId="35903D32" w14:textId="77777777" w:rsidR="006E5D3E" w:rsidRPr="00BC6F92" w:rsidRDefault="006E5D3E" w:rsidP="006E5D3E">
      <w:pPr>
        <w:spacing w:after="160" w:line="300" w:lineRule="exact"/>
        <w:jc w:val="both"/>
        <w:rPr>
          <w:sz w:val="23"/>
          <w:szCs w:val="23"/>
          <w:lang w:val="en-GB" w:eastAsia="de-DE"/>
        </w:rPr>
      </w:pPr>
      <w:r w:rsidRPr="00BC6F92">
        <w:rPr>
          <w:sz w:val="23"/>
          <w:szCs w:val="23"/>
          <w:lang w:val="en-GB" w:eastAsia="de-DE"/>
        </w:rPr>
        <w:t>Business context</w:t>
      </w:r>
    </w:p>
    <w:p w14:paraId="34DFCEEC" w14:textId="357BE122" w:rsidR="009D35DB" w:rsidRPr="00BC6F92" w:rsidRDefault="00511FA3" w:rsidP="00511FA3">
      <w:pPr>
        <w:jc w:val="both"/>
        <w:rPr>
          <w:sz w:val="23"/>
          <w:szCs w:val="23"/>
          <w:lang w:val="en-GB" w:eastAsia="de-DE"/>
        </w:rPr>
      </w:pPr>
      <w:r w:rsidRPr="00BC6F92">
        <w:rPr>
          <w:sz w:val="23"/>
          <w:szCs w:val="23"/>
          <w:lang w:val="en-GB" w:eastAsia="de-DE"/>
        </w:rPr>
        <w:t xml:space="preserve">With T2S, Central Securities Depositories (CSDs) will outsource their settlement </w:t>
      </w:r>
      <w:r w:rsidR="00F83415" w:rsidRPr="00BC6F92">
        <w:rPr>
          <w:sz w:val="23"/>
          <w:szCs w:val="23"/>
          <w:lang w:val="en-GB" w:eastAsia="de-DE"/>
        </w:rPr>
        <w:t xml:space="preserve">to the T2S platform </w:t>
      </w:r>
      <w:r w:rsidRPr="00BC6F92">
        <w:rPr>
          <w:sz w:val="23"/>
          <w:szCs w:val="23"/>
          <w:lang w:val="en-GB" w:eastAsia="de-DE"/>
        </w:rPr>
        <w:t xml:space="preserve">including </w:t>
      </w:r>
      <w:r w:rsidR="00F83415" w:rsidRPr="00BC6F92">
        <w:rPr>
          <w:sz w:val="23"/>
          <w:szCs w:val="23"/>
          <w:lang w:val="en-GB" w:eastAsia="de-DE"/>
        </w:rPr>
        <w:t>the settlement of market claims and transformations</w:t>
      </w:r>
      <w:r w:rsidRPr="00BC6F92">
        <w:rPr>
          <w:sz w:val="23"/>
          <w:szCs w:val="23"/>
          <w:lang w:val="en-GB" w:eastAsia="de-DE"/>
        </w:rPr>
        <w:t>. CSD Participants can connect directly to T2S</w:t>
      </w:r>
      <w:r w:rsidR="009D35DB" w:rsidRPr="00BC6F92">
        <w:rPr>
          <w:sz w:val="23"/>
          <w:szCs w:val="23"/>
          <w:lang w:val="en-GB" w:eastAsia="de-DE"/>
        </w:rPr>
        <w:t xml:space="preserve"> (Directly Connected Participants)</w:t>
      </w:r>
      <w:r w:rsidRPr="00BC6F92">
        <w:rPr>
          <w:sz w:val="23"/>
          <w:szCs w:val="23"/>
          <w:lang w:val="en-GB" w:eastAsia="de-DE"/>
        </w:rPr>
        <w:t xml:space="preserve"> and they can operate on their securities accounts (i.e. sending settlement </w:t>
      </w:r>
      <w:r w:rsidR="009D35DB" w:rsidRPr="00BC6F92">
        <w:rPr>
          <w:sz w:val="23"/>
          <w:szCs w:val="23"/>
          <w:lang w:val="en-GB" w:eastAsia="de-DE"/>
        </w:rPr>
        <w:t>instructions</w:t>
      </w:r>
      <w:r w:rsidRPr="00BC6F92">
        <w:rPr>
          <w:sz w:val="23"/>
          <w:szCs w:val="23"/>
          <w:lang w:val="en-GB" w:eastAsia="de-DE"/>
        </w:rPr>
        <w:t xml:space="preserve">, </w:t>
      </w:r>
      <w:r w:rsidR="009D35DB" w:rsidRPr="00BC6F92">
        <w:rPr>
          <w:sz w:val="23"/>
          <w:szCs w:val="23"/>
          <w:lang w:val="en-GB" w:eastAsia="de-DE"/>
        </w:rPr>
        <w:t>receiving</w:t>
      </w:r>
      <w:r w:rsidRPr="00BC6F92">
        <w:rPr>
          <w:sz w:val="23"/>
          <w:szCs w:val="23"/>
          <w:lang w:val="en-GB" w:eastAsia="de-DE"/>
        </w:rPr>
        <w:t xml:space="preserve"> status no</w:t>
      </w:r>
      <w:r w:rsidR="009D35DB" w:rsidRPr="00BC6F92">
        <w:rPr>
          <w:sz w:val="23"/>
          <w:szCs w:val="23"/>
          <w:lang w:val="en-GB" w:eastAsia="de-DE"/>
        </w:rPr>
        <w:t>ti</w:t>
      </w:r>
      <w:r w:rsidRPr="00BC6F92">
        <w:rPr>
          <w:sz w:val="23"/>
          <w:szCs w:val="23"/>
          <w:lang w:val="en-GB" w:eastAsia="de-DE"/>
        </w:rPr>
        <w:t>fication</w:t>
      </w:r>
      <w:r w:rsidR="009D35DB" w:rsidRPr="00BC6F92">
        <w:rPr>
          <w:sz w:val="23"/>
          <w:szCs w:val="23"/>
          <w:lang w:val="en-GB" w:eastAsia="de-DE"/>
        </w:rPr>
        <w:t>s</w:t>
      </w:r>
      <w:r w:rsidRPr="00BC6F92">
        <w:rPr>
          <w:sz w:val="23"/>
          <w:szCs w:val="23"/>
          <w:lang w:val="en-GB" w:eastAsia="de-DE"/>
        </w:rPr>
        <w:t xml:space="preserve"> /settlement confirmations) </w:t>
      </w:r>
      <w:r w:rsidR="009D35DB" w:rsidRPr="00BC6F92">
        <w:rPr>
          <w:sz w:val="23"/>
          <w:szCs w:val="23"/>
          <w:lang w:val="en-GB" w:eastAsia="de-DE"/>
        </w:rPr>
        <w:t>directly with</w:t>
      </w:r>
      <w:r w:rsidRPr="00BC6F92">
        <w:rPr>
          <w:sz w:val="23"/>
          <w:szCs w:val="23"/>
          <w:lang w:val="en-GB" w:eastAsia="de-DE"/>
        </w:rPr>
        <w:t xml:space="preserve"> T2S</w:t>
      </w:r>
      <w:r w:rsidR="009D35DB" w:rsidRPr="00BC6F92">
        <w:rPr>
          <w:sz w:val="23"/>
          <w:szCs w:val="23"/>
          <w:lang w:val="en-GB" w:eastAsia="de-DE"/>
        </w:rPr>
        <w:t>.</w:t>
      </w:r>
    </w:p>
    <w:p w14:paraId="17C523C7" w14:textId="77777777" w:rsidR="00F83415" w:rsidRPr="00BC6F92" w:rsidRDefault="00F83415" w:rsidP="00F83415">
      <w:pPr>
        <w:keepNext/>
        <w:keepLines/>
        <w:tabs>
          <w:tab w:val="left" w:pos="1152"/>
        </w:tabs>
        <w:spacing w:before="60" w:after="60"/>
        <w:ind w:right="3"/>
        <w:jc w:val="both"/>
        <w:rPr>
          <w:sz w:val="23"/>
          <w:szCs w:val="23"/>
          <w:lang w:val="en-GB" w:eastAsia="de-DE"/>
        </w:rPr>
      </w:pPr>
      <w:r w:rsidRPr="00BC6F92">
        <w:rPr>
          <w:sz w:val="23"/>
          <w:szCs w:val="23"/>
          <w:lang w:val="en-GB" w:eastAsia="de-DE"/>
        </w:rPr>
        <w:t>The aim of this Change Request is to facilitate Directly Connected Participants in the processing of settlement instructions related to market claims and transformations.</w:t>
      </w:r>
    </w:p>
    <w:p w14:paraId="28B38BD4" w14:textId="16D4A3B2" w:rsidR="009D35DB" w:rsidRPr="00BC6F92" w:rsidRDefault="009D35DB" w:rsidP="00511FA3">
      <w:pPr>
        <w:jc w:val="both"/>
        <w:rPr>
          <w:sz w:val="23"/>
          <w:szCs w:val="23"/>
          <w:lang w:val="en-GB" w:eastAsia="de-DE"/>
        </w:rPr>
      </w:pPr>
      <w:r w:rsidRPr="00BC6F92">
        <w:rPr>
          <w:sz w:val="23"/>
          <w:szCs w:val="23"/>
          <w:lang w:val="en-GB" w:eastAsia="de-DE"/>
        </w:rPr>
        <w:t xml:space="preserve">Directly Connected Participants could receive the status </w:t>
      </w:r>
      <w:r w:rsidR="00F83415" w:rsidRPr="00BC6F92">
        <w:rPr>
          <w:sz w:val="23"/>
          <w:szCs w:val="23"/>
          <w:lang w:val="en-GB" w:eastAsia="de-DE"/>
        </w:rPr>
        <w:t>notifications (</w:t>
      </w:r>
      <w:r w:rsidRPr="00BC6F92">
        <w:rPr>
          <w:sz w:val="23"/>
          <w:szCs w:val="23"/>
          <w:lang w:val="en-GB" w:eastAsia="de-DE"/>
        </w:rPr>
        <w:t xml:space="preserve">sese.024) and settlement </w:t>
      </w:r>
      <w:r w:rsidR="00F83415" w:rsidRPr="00BC6F92">
        <w:rPr>
          <w:sz w:val="23"/>
          <w:szCs w:val="23"/>
          <w:lang w:val="en-GB" w:eastAsia="de-DE"/>
        </w:rPr>
        <w:t>confirmations (</w:t>
      </w:r>
      <w:r w:rsidRPr="00BC6F92">
        <w:rPr>
          <w:sz w:val="23"/>
          <w:szCs w:val="23"/>
          <w:lang w:val="en-GB" w:eastAsia="de-DE"/>
        </w:rPr>
        <w:t xml:space="preserve">sese.025) from T2S for settlement instructions </w:t>
      </w:r>
      <w:r w:rsidR="00F83415" w:rsidRPr="00BC6F92">
        <w:rPr>
          <w:sz w:val="23"/>
          <w:szCs w:val="23"/>
          <w:lang w:val="en-GB" w:eastAsia="de-DE"/>
        </w:rPr>
        <w:t>related to market claims and transformations</w:t>
      </w:r>
      <w:r w:rsidRPr="00BC6F92">
        <w:rPr>
          <w:sz w:val="23"/>
          <w:szCs w:val="23"/>
          <w:lang w:val="en-GB" w:eastAsia="de-DE"/>
        </w:rPr>
        <w:t xml:space="preserve"> and use this information for managing the </w:t>
      </w:r>
      <w:r w:rsidR="00F83415" w:rsidRPr="00BC6F92">
        <w:rPr>
          <w:sz w:val="23"/>
          <w:szCs w:val="23"/>
          <w:lang w:val="en-GB" w:eastAsia="de-DE"/>
        </w:rPr>
        <w:t>market claims and transformations</w:t>
      </w:r>
      <w:r w:rsidRPr="00BC6F92">
        <w:rPr>
          <w:sz w:val="23"/>
          <w:szCs w:val="23"/>
          <w:lang w:val="en-GB" w:eastAsia="de-DE"/>
        </w:rPr>
        <w:t xml:space="preserve"> at their ends.</w:t>
      </w:r>
    </w:p>
    <w:p w14:paraId="19A3C80B" w14:textId="54EA8B47" w:rsidR="005732A1" w:rsidRPr="00BC6F92" w:rsidRDefault="005732A1" w:rsidP="00C73712">
      <w:pPr>
        <w:jc w:val="both"/>
        <w:rPr>
          <w:b/>
          <w:sz w:val="23"/>
          <w:szCs w:val="23"/>
          <w:lang w:val="en-GB"/>
        </w:rPr>
      </w:pPr>
    </w:p>
    <w:p w14:paraId="578B4FF3" w14:textId="295E03F9" w:rsidR="00302203" w:rsidRPr="00BC6F92" w:rsidRDefault="00302203" w:rsidP="00C73712">
      <w:pPr>
        <w:jc w:val="both"/>
        <w:rPr>
          <w:b/>
          <w:sz w:val="23"/>
          <w:szCs w:val="23"/>
          <w:lang w:val="en-GB"/>
        </w:rPr>
      </w:pPr>
      <w:r w:rsidRPr="00BC6F92">
        <w:rPr>
          <w:b/>
          <w:sz w:val="23"/>
          <w:szCs w:val="23"/>
          <w:lang w:val="en-GB"/>
        </w:rPr>
        <w:t>Replicating of the linkage INFO sequence, if present in sese.023, to sese.024 and sese.025</w:t>
      </w:r>
    </w:p>
    <w:p w14:paraId="1529C73E" w14:textId="30B52486" w:rsidR="00C73712" w:rsidRPr="00BC6F92" w:rsidRDefault="000C34C2" w:rsidP="00C73712">
      <w:pPr>
        <w:autoSpaceDE w:val="0"/>
        <w:autoSpaceDN w:val="0"/>
        <w:adjustRightInd w:val="0"/>
        <w:spacing w:before="0"/>
        <w:jc w:val="both"/>
        <w:rPr>
          <w:sz w:val="23"/>
          <w:szCs w:val="23"/>
          <w:lang w:val="en-GB" w:eastAsia="de-DE"/>
        </w:rPr>
      </w:pPr>
      <w:r w:rsidRPr="00BC6F92">
        <w:rPr>
          <w:sz w:val="23"/>
          <w:szCs w:val="23"/>
          <w:lang w:val="en-GB" w:eastAsia="de-DE"/>
        </w:rPr>
        <w:t xml:space="preserve">The </w:t>
      </w:r>
      <w:r w:rsidR="00C73712" w:rsidRPr="00BC6F92">
        <w:rPr>
          <w:sz w:val="23"/>
          <w:szCs w:val="23"/>
          <w:lang w:val="en-GB" w:eastAsia="de-DE"/>
        </w:rPr>
        <w:t>T2S Corporate Action Sub Group (CASG) a</w:t>
      </w:r>
      <w:r w:rsidR="008018F0" w:rsidRPr="00BC6F92">
        <w:rPr>
          <w:sz w:val="23"/>
          <w:szCs w:val="23"/>
          <w:lang w:val="en-GB" w:eastAsia="de-DE"/>
        </w:rPr>
        <w:t>g</w:t>
      </w:r>
      <w:r w:rsidRPr="00BC6F92">
        <w:rPr>
          <w:sz w:val="23"/>
          <w:szCs w:val="23"/>
          <w:lang w:val="en-GB" w:eastAsia="de-DE"/>
        </w:rPr>
        <w:t>reed that as a best practice in T2S, the IOCs and CCP which manage market claims and transformations</w:t>
      </w:r>
      <w:r w:rsidR="00C73712" w:rsidRPr="00BC6F92">
        <w:rPr>
          <w:sz w:val="23"/>
          <w:szCs w:val="23"/>
          <w:lang w:val="en-GB" w:eastAsia="de-DE"/>
        </w:rPr>
        <w:t xml:space="preserve"> </w:t>
      </w:r>
      <w:r w:rsidRPr="00BC6F92">
        <w:rPr>
          <w:sz w:val="23"/>
          <w:szCs w:val="23"/>
          <w:lang w:val="en-GB" w:eastAsia="de-DE"/>
        </w:rPr>
        <w:t>in T2S, should fill the Market Infrastructure reference (MITI) of the underlying instruction in the linkage sequence</w:t>
      </w:r>
      <w:r w:rsidR="00C73712" w:rsidRPr="00BC6F92">
        <w:rPr>
          <w:sz w:val="23"/>
          <w:szCs w:val="23"/>
          <w:lang w:val="en-GB" w:eastAsia="de-DE"/>
        </w:rPr>
        <w:t xml:space="preserve"> </w:t>
      </w:r>
      <w:r w:rsidRPr="00BC6F92">
        <w:rPr>
          <w:sz w:val="23"/>
          <w:szCs w:val="23"/>
          <w:lang w:val="en-GB" w:eastAsia="de-DE"/>
        </w:rPr>
        <w:t>(/SctiesSttlmTxInstr/Lnkgs/Ref using reason code INFO) in the settlement instructions (sese.023) generated for market</w:t>
      </w:r>
      <w:r w:rsidR="00C73712" w:rsidRPr="00BC6F92">
        <w:rPr>
          <w:sz w:val="23"/>
          <w:szCs w:val="23"/>
          <w:lang w:val="en-GB" w:eastAsia="de-DE"/>
        </w:rPr>
        <w:t xml:space="preserve"> </w:t>
      </w:r>
      <w:r w:rsidRPr="00BC6F92">
        <w:rPr>
          <w:sz w:val="23"/>
          <w:szCs w:val="23"/>
          <w:lang w:val="en-GB" w:eastAsia="de-DE"/>
        </w:rPr>
        <w:t>claims and transformations by CSDs and CCPs.</w:t>
      </w:r>
    </w:p>
    <w:p w14:paraId="0771793D" w14:textId="38F843AD" w:rsidR="00782A7B" w:rsidRPr="00BC6F92" w:rsidRDefault="000C34C2" w:rsidP="00C73712">
      <w:pPr>
        <w:autoSpaceDE w:val="0"/>
        <w:autoSpaceDN w:val="0"/>
        <w:adjustRightInd w:val="0"/>
        <w:spacing w:before="0"/>
        <w:jc w:val="both"/>
        <w:rPr>
          <w:sz w:val="23"/>
          <w:szCs w:val="23"/>
          <w:lang w:val="en-GB" w:eastAsia="de-DE"/>
        </w:rPr>
      </w:pPr>
      <w:r w:rsidRPr="00BC6F92">
        <w:rPr>
          <w:sz w:val="23"/>
          <w:szCs w:val="23"/>
          <w:lang w:val="en-GB" w:eastAsia="de-DE"/>
        </w:rPr>
        <w:t>This reference to the underlying instruction needs to be replicated also</w:t>
      </w:r>
      <w:r w:rsidR="00C73712" w:rsidRPr="00BC6F92">
        <w:rPr>
          <w:sz w:val="23"/>
          <w:szCs w:val="23"/>
          <w:lang w:val="en-GB" w:eastAsia="de-DE"/>
        </w:rPr>
        <w:t xml:space="preserve"> </w:t>
      </w:r>
      <w:r w:rsidRPr="00BC6F92">
        <w:rPr>
          <w:sz w:val="23"/>
          <w:szCs w:val="23"/>
          <w:lang w:val="en-GB" w:eastAsia="de-DE"/>
        </w:rPr>
        <w:t>in the sese.024 and sese.025 on the transformed/MC instructions to facilitate the processing of these instructions by</w:t>
      </w:r>
      <w:r w:rsidR="00C73712" w:rsidRPr="00BC6F92">
        <w:rPr>
          <w:sz w:val="23"/>
          <w:szCs w:val="23"/>
          <w:lang w:val="en-GB" w:eastAsia="de-DE"/>
        </w:rPr>
        <w:t xml:space="preserve"> </w:t>
      </w:r>
      <w:r w:rsidRPr="00BC6F92">
        <w:rPr>
          <w:sz w:val="23"/>
          <w:szCs w:val="23"/>
          <w:lang w:val="en-GB" w:eastAsia="de-DE"/>
        </w:rPr>
        <w:t xml:space="preserve">Directly Connected Participants. </w:t>
      </w:r>
      <w:r w:rsidR="00F83415" w:rsidRPr="00BC6F92">
        <w:rPr>
          <w:sz w:val="23"/>
          <w:szCs w:val="23"/>
          <w:lang w:val="en-GB" w:eastAsia="de-DE"/>
        </w:rPr>
        <w:t>I</w:t>
      </w:r>
      <w:r w:rsidR="00BF1046" w:rsidRPr="00BC6F92">
        <w:rPr>
          <w:sz w:val="23"/>
          <w:szCs w:val="23"/>
          <w:lang w:val="en-GB" w:eastAsia="de-DE"/>
        </w:rPr>
        <w:t>n</w:t>
      </w:r>
      <w:r w:rsidR="00F83415" w:rsidRPr="00BC6F92">
        <w:rPr>
          <w:sz w:val="23"/>
          <w:szCs w:val="23"/>
          <w:lang w:val="en-GB" w:eastAsia="de-DE"/>
        </w:rPr>
        <w:t xml:space="preserve"> absence of the linkage sequence in sese.024 and sese.025, c</w:t>
      </w:r>
      <w:r w:rsidRPr="00BC6F92">
        <w:rPr>
          <w:sz w:val="23"/>
          <w:szCs w:val="23"/>
          <w:lang w:val="en-GB" w:eastAsia="de-DE"/>
        </w:rPr>
        <w:t xml:space="preserve">urrently, the linkage sequence (/SctiesSttlmTxInstr/Lnkgs/Ref) </w:t>
      </w:r>
      <w:r w:rsidR="00F83415" w:rsidRPr="00BC6F92">
        <w:rPr>
          <w:sz w:val="23"/>
          <w:szCs w:val="23"/>
          <w:lang w:val="en-GB" w:eastAsia="de-DE"/>
        </w:rPr>
        <w:t xml:space="preserve">could not be </w:t>
      </w:r>
      <w:r w:rsidRPr="00BC6F92">
        <w:rPr>
          <w:sz w:val="23"/>
          <w:szCs w:val="23"/>
          <w:lang w:val="en-GB" w:eastAsia="de-DE"/>
        </w:rPr>
        <w:t xml:space="preserve"> replicated in the</w:t>
      </w:r>
      <w:r w:rsidR="00C73712" w:rsidRPr="00BC6F92">
        <w:rPr>
          <w:sz w:val="23"/>
          <w:szCs w:val="23"/>
          <w:lang w:val="en-GB" w:eastAsia="de-DE"/>
        </w:rPr>
        <w:t xml:space="preserve"> </w:t>
      </w:r>
      <w:r w:rsidRPr="00BC6F92">
        <w:rPr>
          <w:sz w:val="23"/>
          <w:szCs w:val="23"/>
          <w:lang w:val="en-GB" w:eastAsia="de-DE"/>
        </w:rPr>
        <w:t>corresponding sese.024 and sese.025 eve</w:t>
      </w:r>
      <w:r w:rsidR="00C73712" w:rsidRPr="00BC6F92">
        <w:rPr>
          <w:sz w:val="23"/>
          <w:szCs w:val="23"/>
          <w:lang w:val="en-GB" w:eastAsia="de-DE"/>
        </w:rPr>
        <w:t>n if it is present in sese.023.</w:t>
      </w:r>
    </w:p>
    <w:p w14:paraId="10DCA813" w14:textId="77777777" w:rsidR="00782A7B" w:rsidRPr="00BC6F92" w:rsidRDefault="00782A7B">
      <w:pPr>
        <w:spacing w:before="0"/>
        <w:rPr>
          <w:sz w:val="23"/>
          <w:szCs w:val="23"/>
          <w:lang w:val="en-GB" w:eastAsia="de-DE"/>
        </w:rPr>
      </w:pPr>
      <w:r w:rsidRPr="00BC6F92">
        <w:rPr>
          <w:sz w:val="23"/>
          <w:szCs w:val="23"/>
          <w:lang w:val="en-GB" w:eastAsia="de-DE"/>
        </w:rPr>
        <w:br w:type="page"/>
      </w:r>
    </w:p>
    <w:p w14:paraId="184A89CC" w14:textId="77777777" w:rsidR="00FB67B7" w:rsidRPr="00BC6F92" w:rsidRDefault="005246BE" w:rsidP="00C73712">
      <w:pPr>
        <w:numPr>
          <w:ilvl w:val="0"/>
          <w:numId w:val="6"/>
        </w:numPr>
        <w:jc w:val="both"/>
        <w:rPr>
          <w:sz w:val="23"/>
          <w:szCs w:val="23"/>
        </w:rPr>
      </w:pPr>
      <w:r w:rsidRPr="00BC6F92">
        <w:rPr>
          <w:b/>
          <w:sz w:val="23"/>
          <w:szCs w:val="23"/>
          <w:lang w:val="en-GB"/>
        </w:rPr>
        <w:lastRenderedPageBreak/>
        <w:t xml:space="preserve">Purpose of the </w:t>
      </w:r>
      <w:r w:rsidR="00577861" w:rsidRPr="00BC6F92">
        <w:rPr>
          <w:b/>
          <w:sz w:val="23"/>
          <w:szCs w:val="23"/>
          <w:lang w:val="en-GB"/>
        </w:rPr>
        <w:t>change</w:t>
      </w:r>
      <w:r w:rsidRPr="00BC6F92">
        <w:rPr>
          <w:b/>
          <w:sz w:val="23"/>
          <w:szCs w:val="23"/>
          <w:lang w:val="en-GB"/>
        </w:rPr>
        <w:t>:</w:t>
      </w:r>
    </w:p>
    <w:p w14:paraId="3C910367" w14:textId="77777777" w:rsidR="00C73712" w:rsidRPr="00BC6F92" w:rsidRDefault="00C73712" w:rsidP="00C73712">
      <w:pPr>
        <w:autoSpaceDE w:val="0"/>
        <w:autoSpaceDN w:val="0"/>
        <w:adjustRightInd w:val="0"/>
        <w:spacing w:before="0"/>
        <w:jc w:val="both"/>
        <w:rPr>
          <w:sz w:val="23"/>
          <w:szCs w:val="23"/>
          <w:lang w:val="en-GB" w:eastAsia="de-DE"/>
        </w:rPr>
      </w:pPr>
    </w:p>
    <w:p w14:paraId="5C94FDEF" w14:textId="77777777" w:rsidR="00BF1046" w:rsidRPr="00BC6F92" w:rsidRDefault="00BF1046" w:rsidP="00BF1046">
      <w:pPr>
        <w:spacing w:after="160" w:line="300" w:lineRule="exact"/>
        <w:jc w:val="both"/>
        <w:rPr>
          <w:sz w:val="23"/>
          <w:szCs w:val="23"/>
          <w:u w:val="single"/>
        </w:rPr>
      </w:pPr>
      <w:r w:rsidRPr="00BC6F92">
        <w:rPr>
          <w:sz w:val="23"/>
          <w:szCs w:val="23"/>
          <w:u w:val="single"/>
        </w:rPr>
        <w:t>Specific benefits of this change request:</w:t>
      </w:r>
    </w:p>
    <w:p w14:paraId="5ADE9F6D" w14:textId="77777777" w:rsidR="00BF1046" w:rsidRPr="00BC6F92" w:rsidRDefault="00BF1046" w:rsidP="00BF1046">
      <w:pPr>
        <w:jc w:val="both"/>
        <w:rPr>
          <w:sz w:val="23"/>
          <w:szCs w:val="23"/>
          <w:lang w:val="en-GB"/>
        </w:rPr>
      </w:pPr>
      <w:r w:rsidRPr="00BC6F92">
        <w:rPr>
          <w:sz w:val="23"/>
          <w:szCs w:val="23"/>
          <w:lang w:val="en-GB"/>
        </w:rPr>
        <w:t>The Change Request will facilitate</w:t>
      </w:r>
      <w:r w:rsidRPr="00BC6F92">
        <w:rPr>
          <w:sz w:val="23"/>
          <w:szCs w:val="23"/>
          <w:lang w:val="en-GB" w:eastAsia="de-DE"/>
        </w:rPr>
        <w:t xml:space="preserve"> Directly Connected Participants in T2S in the processing of settlement instructions related to market claims and transformations. These changes will be also beneficial to the global community as they will cover the business case when different actors are using a single settlement platform to settle corporate action.</w:t>
      </w:r>
    </w:p>
    <w:p w14:paraId="7709AC30" w14:textId="77777777" w:rsidR="00BF1046" w:rsidRPr="00BC6F92" w:rsidRDefault="00BF1046" w:rsidP="00C73712">
      <w:pPr>
        <w:autoSpaceDE w:val="0"/>
        <w:autoSpaceDN w:val="0"/>
        <w:adjustRightInd w:val="0"/>
        <w:spacing w:before="0"/>
        <w:jc w:val="both"/>
        <w:rPr>
          <w:sz w:val="23"/>
          <w:szCs w:val="23"/>
          <w:lang w:val="en-GB" w:eastAsia="de-DE"/>
        </w:rPr>
      </w:pPr>
    </w:p>
    <w:p w14:paraId="491F9B48" w14:textId="77777777" w:rsidR="00BF1046" w:rsidRPr="00BC6F92" w:rsidRDefault="00BF1046" w:rsidP="00C73712">
      <w:pPr>
        <w:autoSpaceDE w:val="0"/>
        <w:autoSpaceDN w:val="0"/>
        <w:adjustRightInd w:val="0"/>
        <w:spacing w:before="0"/>
        <w:jc w:val="both"/>
        <w:rPr>
          <w:sz w:val="23"/>
          <w:szCs w:val="23"/>
          <w:lang w:val="en-GB" w:eastAsia="de-DE"/>
        </w:rPr>
      </w:pPr>
    </w:p>
    <w:p w14:paraId="6A49B63E" w14:textId="77777777" w:rsidR="000C34C2" w:rsidRPr="00BC6F92" w:rsidRDefault="000C34C2" w:rsidP="00C73712">
      <w:pPr>
        <w:autoSpaceDE w:val="0"/>
        <w:autoSpaceDN w:val="0"/>
        <w:adjustRightInd w:val="0"/>
        <w:spacing w:before="0"/>
        <w:jc w:val="both"/>
        <w:rPr>
          <w:sz w:val="23"/>
          <w:szCs w:val="23"/>
          <w:lang w:val="en-GB" w:eastAsia="de-DE"/>
        </w:rPr>
      </w:pPr>
      <w:r w:rsidRPr="00BC6F92">
        <w:rPr>
          <w:sz w:val="23"/>
          <w:szCs w:val="23"/>
          <w:lang w:val="en-GB" w:eastAsia="de-DE"/>
        </w:rPr>
        <w:t>In particular, the suggested changes stem from the following requirements of the T2S CA standards:</w:t>
      </w:r>
    </w:p>
    <w:p w14:paraId="0FDC049A" w14:textId="77777777" w:rsidR="00C73712" w:rsidRPr="00BC6F92" w:rsidRDefault="00C73712" w:rsidP="00C73712">
      <w:pPr>
        <w:autoSpaceDE w:val="0"/>
        <w:autoSpaceDN w:val="0"/>
        <w:adjustRightInd w:val="0"/>
        <w:spacing w:before="0"/>
        <w:jc w:val="both"/>
        <w:rPr>
          <w:sz w:val="23"/>
          <w:szCs w:val="23"/>
          <w:lang w:val="en-GB" w:eastAsia="de-DE"/>
        </w:rPr>
      </w:pPr>
    </w:p>
    <w:p w14:paraId="28E158EB" w14:textId="77777777" w:rsidR="000C34C2" w:rsidRPr="00BC6F92" w:rsidRDefault="000C34C2" w:rsidP="00C73712">
      <w:pPr>
        <w:autoSpaceDE w:val="0"/>
        <w:autoSpaceDN w:val="0"/>
        <w:adjustRightInd w:val="0"/>
        <w:spacing w:before="0"/>
        <w:jc w:val="both"/>
        <w:rPr>
          <w:sz w:val="23"/>
          <w:szCs w:val="23"/>
          <w:lang w:val="en-GB" w:eastAsia="de-DE"/>
        </w:rPr>
      </w:pPr>
      <w:r w:rsidRPr="00BC6F92">
        <w:rPr>
          <w:sz w:val="23"/>
          <w:szCs w:val="23"/>
          <w:lang w:val="en-GB" w:eastAsia="de-DE"/>
        </w:rPr>
        <w:t>According to standard 16 of the T2S CA Market Claim standards:</w:t>
      </w:r>
    </w:p>
    <w:p w14:paraId="7B155BF0" w14:textId="02A4B49D" w:rsidR="000C34C2" w:rsidRPr="00BC6F92" w:rsidRDefault="000C34C2" w:rsidP="00C73712">
      <w:pPr>
        <w:autoSpaceDE w:val="0"/>
        <w:autoSpaceDN w:val="0"/>
        <w:adjustRightInd w:val="0"/>
        <w:spacing w:before="0"/>
        <w:jc w:val="both"/>
        <w:rPr>
          <w:iCs/>
          <w:sz w:val="23"/>
          <w:szCs w:val="23"/>
          <w:lang w:val="en-GB" w:eastAsia="de-DE"/>
        </w:rPr>
      </w:pPr>
      <w:r w:rsidRPr="00BC6F92">
        <w:rPr>
          <w:iCs/>
          <w:sz w:val="23"/>
          <w:szCs w:val="23"/>
          <w:lang w:val="en-GB" w:eastAsia="de-DE"/>
        </w:rPr>
        <w:t>“Each CSD/CCP will include in the market claim settlement instruction sent to T2S appropriate references so that its participant</w:t>
      </w:r>
      <w:r w:rsidR="00C73712" w:rsidRPr="00BC6F92">
        <w:rPr>
          <w:iCs/>
          <w:sz w:val="23"/>
          <w:szCs w:val="23"/>
          <w:lang w:val="en-GB" w:eastAsia="de-DE"/>
        </w:rPr>
        <w:t xml:space="preserve"> </w:t>
      </w:r>
      <w:r w:rsidRPr="00BC6F92">
        <w:rPr>
          <w:iCs/>
          <w:sz w:val="23"/>
          <w:szCs w:val="23"/>
          <w:lang w:val="en-GB" w:eastAsia="de-DE"/>
        </w:rPr>
        <w:t>can identify and process the claim satisfactorily. Background Info: Possible references include: T2S reference of the underlying</w:t>
      </w:r>
      <w:r w:rsidR="00C73712" w:rsidRPr="00BC6F92">
        <w:rPr>
          <w:iCs/>
          <w:sz w:val="23"/>
          <w:szCs w:val="23"/>
          <w:lang w:val="en-GB" w:eastAsia="de-DE"/>
        </w:rPr>
        <w:t xml:space="preserve"> </w:t>
      </w:r>
      <w:r w:rsidRPr="00BC6F92">
        <w:rPr>
          <w:iCs/>
          <w:sz w:val="23"/>
          <w:szCs w:val="23"/>
          <w:lang w:val="en-GB" w:eastAsia="de-DE"/>
        </w:rPr>
        <w:t>transaction, and IOC corporate action event reference</w:t>
      </w:r>
      <w:r w:rsidRPr="00BC6F92">
        <w:rPr>
          <w:sz w:val="23"/>
          <w:szCs w:val="23"/>
          <w:lang w:val="en-GB" w:eastAsia="de-DE"/>
        </w:rPr>
        <w:t xml:space="preserve">. </w:t>
      </w:r>
      <w:r w:rsidRPr="00BC6F92">
        <w:rPr>
          <w:iCs/>
          <w:sz w:val="23"/>
          <w:szCs w:val="23"/>
          <w:lang w:val="en-GB" w:eastAsia="de-DE"/>
        </w:rPr>
        <w:t>From a T2S system specification perspective, these references are only for</w:t>
      </w:r>
      <w:r w:rsidR="00C73712" w:rsidRPr="00BC6F92">
        <w:rPr>
          <w:iCs/>
          <w:sz w:val="23"/>
          <w:szCs w:val="23"/>
          <w:lang w:val="en-GB" w:eastAsia="de-DE"/>
        </w:rPr>
        <w:t xml:space="preserve"> </w:t>
      </w:r>
      <w:r w:rsidRPr="00BC6F92">
        <w:rPr>
          <w:iCs/>
          <w:sz w:val="23"/>
          <w:szCs w:val="23"/>
          <w:lang w:val="en-GB" w:eastAsia="de-DE"/>
        </w:rPr>
        <w:t>information purposes (for CSDs participants) as these references do not trigger any specific processes in T2S (other than standard</w:t>
      </w:r>
      <w:r w:rsidR="00C73712" w:rsidRPr="00BC6F92">
        <w:rPr>
          <w:iCs/>
          <w:sz w:val="23"/>
          <w:szCs w:val="23"/>
          <w:lang w:val="en-GB" w:eastAsia="de-DE"/>
        </w:rPr>
        <w:t xml:space="preserve"> </w:t>
      </w:r>
      <w:r w:rsidRPr="00BC6F92">
        <w:rPr>
          <w:iCs/>
          <w:sz w:val="23"/>
          <w:szCs w:val="23"/>
          <w:lang w:val="en-GB" w:eastAsia="de-DE"/>
        </w:rPr>
        <w:t>settlement).”</w:t>
      </w:r>
    </w:p>
    <w:p w14:paraId="03B1AD5A" w14:textId="77777777" w:rsidR="00C73712" w:rsidRPr="00BC6F92" w:rsidRDefault="00C73712" w:rsidP="00C73712">
      <w:pPr>
        <w:autoSpaceDE w:val="0"/>
        <w:autoSpaceDN w:val="0"/>
        <w:adjustRightInd w:val="0"/>
        <w:spacing w:before="0"/>
        <w:jc w:val="both"/>
        <w:rPr>
          <w:sz w:val="23"/>
          <w:szCs w:val="23"/>
          <w:lang w:val="en-GB" w:eastAsia="de-DE"/>
        </w:rPr>
      </w:pPr>
    </w:p>
    <w:p w14:paraId="7D7501D1" w14:textId="77777777" w:rsidR="000C34C2" w:rsidRPr="00BC6F92" w:rsidRDefault="000C34C2" w:rsidP="00C73712">
      <w:pPr>
        <w:autoSpaceDE w:val="0"/>
        <w:autoSpaceDN w:val="0"/>
        <w:adjustRightInd w:val="0"/>
        <w:spacing w:before="0"/>
        <w:jc w:val="both"/>
        <w:rPr>
          <w:sz w:val="23"/>
          <w:szCs w:val="23"/>
          <w:lang w:val="en-GB" w:eastAsia="de-DE"/>
        </w:rPr>
      </w:pPr>
      <w:r w:rsidRPr="00BC6F92">
        <w:rPr>
          <w:sz w:val="23"/>
          <w:szCs w:val="23"/>
          <w:lang w:val="en-GB" w:eastAsia="de-DE"/>
        </w:rPr>
        <w:t>And standard 4 of the T2S CA Transformation standards:</w:t>
      </w:r>
    </w:p>
    <w:p w14:paraId="36D03177" w14:textId="522CCA33" w:rsidR="002D4400" w:rsidRPr="00BC6F92" w:rsidRDefault="000C34C2" w:rsidP="00C73712">
      <w:pPr>
        <w:autoSpaceDE w:val="0"/>
        <w:autoSpaceDN w:val="0"/>
        <w:adjustRightInd w:val="0"/>
        <w:spacing w:before="0"/>
        <w:jc w:val="both"/>
        <w:rPr>
          <w:iCs/>
          <w:sz w:val="23"/>
          <w:szCs w:val="23"/>
          <w:lang w:val="en-GB" w:eastAsia="de-DE"/>
        </w:rPr>
      </w:pPr>
      <w:r w:rsidRPr="00BC6F92">
        <w:rPr>
          <w:iCs/>
          <w:sz w:val="23"/>
          <w:szCs w:val="23"/>
          <w:lang w:val="en-GB" w:eastAsia="de-DE"/>
        </w:rPr>
        <w:t>“IOCs/CCPs managing the transformation will use the ISO20022 format as specified in the T2S URD. IOCs/CCPs will include in</w:t>
      </w:r>
      <w:r w:rsidR="00C73712" w:rsidRPr="00BC6F92">
        <w:rPr>
          <w:iCs/>
          <w:sz w:val="23"/>
          <w:szCs w:val="23"/>
          <w:lang w:val="en-GB" w:eastAsia="de-DE"/>
        </w:rPr>
        <w:t xml:space="preserve"> </w:t>
      </w:r>
      <w:r w:rsidRPr="00BC6F92">
        <w:rPr>
          <w:iCs/>
          <w:sz w:val="23"/>
          <w:szCs w:val="23"/>
          <w:lang w:val="en-GB" w:eastAsia="de-DE"/>
        </w:rPr>
        <w:t>the transformation settlement instructions the appropriate references so that their own participants can identify and process the</w:t>
      </w:r>
      <w:r w:rsidR="00C73712" w:rsidRPr="00BC6F92">
        <w:rPr>
          <w:iCs/>
          <w:sz w:val="23"/>
          <w:szCs w:val="23"/>
          <w:lang w:val="en-GB" w:eastAsia="de-DE"/>
        </w:rPr>
        <w:t xml:space="preserve"> </w:t>
      </w:r>
      <w:r w:rsidRPr="00BC6F92">
        <w:rPr>
          <w:iCs/>
          <w:sz w:val="23"/>
          <w:szCs w:val="23"/>
          <w:lang w:val="en-GB" w:eastAsia="de-DE"/>
        </w:rPr>
        <w:t>transformation satisfactorily in their own books. The minimum references required include: T2S reference of the underlying</w:t>
      </w:r>
      <w:r w:rsidR="00C73712" w:rsidRPr="00BC6F92">
        <w:rPr>
          <w:iCs/>
          <w:sz w:val="23"/>
          <w:szCs w:val="23"/>
          <w:lang w:val="en-GB" w:eastAsia="de-DE"/>
        </w:rPr>
        <w:t xml:space="preserve"> t</w:t>
      </w:r>
      <w:r w:rsidRPr="00BC6F92">
        <w:rPr>
          <w:iCs/>
          <w:sz w:val="23"/>
          <w:szCs w:val="23"/>
          <w:lang w:val="en-GB" w:eastAsia="de-DE"/>
        </w:rPr>
        <w:t>ransaction, the “TRAN” ISO settlement transaction condition code, and CSD corporate action event reference.</w:t>
      </w:r>
      <w:r w:rsidR="00C73712" w:rsidRPr="00BC6F92">
        <w:rPr>
          <w:iCs/>
          <w:sz w:val="23"/>
          <w:szCs w:val="23"/>
          <w:lang w:val="en-GB" w:eastAsia="de-DE"/>
        </w:rPr>
        <w:t xml:space="preserve"> </w:t>
      </w:r>
      <w:r w:rsidRPr="00BC6F92">
        <w:rPr>
          <w:iCs/>
          <w:sz w:val="23"/>
          <w:szCs w:val="23"/>
          <w:lang w:val="en-GB" w:eastAsia="de-DE"/>
        </w:rPr>
        <w:t>From a T2S system specification perspective, these references are only for information purposes (for CSDs/CCPs participants) as</w:t>
      </w:r>
      <w:r w:rsidR="00C73712" w:rsidRPr="00BC6F92">
        <w:rPr>
          <w:iCs/>
          <w:sz w:val="23"/>
          <w:szCs w:val="23"/>
          <w:lang w:val="en-GB" w:eastAsia="de-DE"/>
        </w:rPr>
        <w:t xml:space="preserve"> </w:t>
      </w:r>
      <w:r w:rsidRPr="00BC6F92">
        <w:rPr>
          <w:iCs/>
          <w:sz w:val="23"/>
          <w:szCs w:val="23"/>
          <w:lang w:val="en-GB" w:eastAsia="de-DE"/>
        </w:rPr>
        <w:t>these references do not trigger any specific functionality in T2S (other than standard settlement processing).”</w:t>
      </w:r>
    </w:p>
    <w:p w14:paraId="6F503151" w14:textId="77777777" w:rsidR="000C34C2" w:rsidRPr="00BC6F92" w:rsidRDefault="000C34C2" w:rsidP="00C73712">
      <w:pPr>
        <w:jc w:val="both"/>
        <w:rPr>
          <w:sz w:val="23"/>
          <w:szCs w:val="23"/>
          <w:lang w:val="en-GB"/>
        </w:rPr>
      </w:pPr>
    </w:p>
    <w:p w14:paraId="6207A22F" w14:textId="77777777" w:rsidR="00BF1046" w:rsidRPr="00BC6F92" w:rsidRDefault="00BF1046" w:rsidP="00C73712">
      <w:pPr>
        <w:jc w:val="both"/>
        <w:rPr>
          <w:sz w:val="23"/>
          <w:szCs w:val="23"/>
          <w:lang w:val="en-GB"/>
        </w:rPr>
      </w:pPr>
    </w:p>
    <w:p w14:paraId="77A6C467" w14:textId="77777777" w:rsidR="00FD27CB" w:rsidRPr="00BC6F92" w:rsidRDefault="00AA5E76" w:rsidP="00C73712">
      <w:pPr>
        <w:numPr>
          <w:ilvl w:val="0"/>
          <w:numId w:val="6"/>
        </w:numPr>
        <w:jc w:val="both"/>
        <w:rPr>
          <w:b/>
          <w:sz w:val="23"/>
          <w:szCs w:val="23"/>
          <w:lang w:val="en-GB"/>
        </w:rPr>
      </w:pPr>
      <w:r w:rsidRPr="00BC6F92">
        <w:rPr>
          <w:b/>
          <w:sz w:val="23"/>
          <w:szCs w:val="23"/>
          <w:lang w:val="en-GB"/>
        </w:rPr>
        <w:t>Urgency of the request</w:t>
      </w:r>
      <w:r w:rsidR="00783891" w:rsidRPr="00BC6F92">
        <w:rPr>
          <w:b/>
          <w:sz w:val="23"/>
          <w:szCs w:val="23"/>
          <w:lang w:val="en-GB"/>
        </w:rPr>
        <w:t>:</w:t>
      </w:r>
    </w:p>
    <w:p w14:paraId="53C9A2B8" w14:textId="3D8D2035" w:rsidR="00561BA8" w:rsidRPr="00BC6F92" w:rsidRDefault="00900191" w:rsidP="00C73712">
      <w:pPr>
        <w:jc w:val="both"/>
        <w:rPr>
          <w:sz w:val="23"/>
          <w:szCs w:val="23"/>
        </w:rPr>
      </w:pPr>
      <w:r w:rsidRPr="00BC6F92">
        <w:rPr>
          <w:sz w:val="23"/>
          <w:szCs w:val="23"/>
        </w:rPr>
        <w:t>We request the SEG to consider this change request for the next maintenance cycle</w:t>
      </w:r>
      <w:r w:rsidR="006B3EBF" w:rsidRPr="00BC6F92">
        <w:rPr>
          <w:sz w:val="23"/>
          <w:szCs w:val="23"/>
        </w:rPr>
        <w:t>.</w:t>
      </w:r>
    </w:p>
    <w:p w14:paraId="1B55D701" w14:textId="77777777" w:rsidR="00C73712" w:rsidRPr="00BC6F92" w:rsidRDefault="00C73712" w:rsidP="00C73712">
      <w:pPr>
        <w:jc w:val="both"/>
        <w:rPr>
          <w:sz w:val="23"/>
          <w:szCs w:val="23"/>
          <w:lang w:val="en-GB"/>
        </w:rPr>
      </w:pPr>
    </w:p>
    <w:p w14:paraId="79745E0F" w14:textId="77777777" w:rsidR="00FD27CB" w:rsidRPr="00BC6F92" w:rsidRDefault="00FF4AEF" w:rsidP="00C73712">
      <w:pPr>
        <w:numPr>
          <w:ilvl w:val="0"/>
          <w:numId w:val="6"/>
        </w:numPr>
        <w:jc w:val="both"/>
        <w:rPr>
          <w:sz w:val="23"/>
          <w:szCs w:val="23"/>
          <w:lang w:val="en-GB"/>
        </w:rPr>
      </w:pPr>
      <w:r w:rsidRPr="00BC6F92">
        <w:rPr>
          <w:b/>
          <w:sz w:val="23"/>
          <w:szCs w:val="23"/>
          <w:lang w:val="en-GB"/>
        </w:rPr>
        <w:t>Business examples</w:t>
      </w:r>
      <w:r w:rsidR="00783891" w:rsidRPr="00BC6F92">
        <w:rPr>
          <w:b/>
          <w:sz w:val="23"/>
          <w:szCs w:val="23"/>
          <w:lang w:val="en-GB"/>
        </w:rPr>
        <w:t>:</w:t>
      </w:r>
    </w:p>
    <w:p w14:paraId="6A19688B" w14:textId="77777777" w:rsidR="006B3EBF" w:rsidRPr="00BC6F92" w:rsidRDefault="006B3EBF" w:rsidP="00C73712">
      <w:pPr>
        <w:spacing w:before="0"/>
        <w:jc w:val="both"/>
        <w:rPr>
          <w:sz w:val="23"/>
          <w:szCs w:val="23"/>
          <w:highlight w:val="white"/>
          <w:lang w:eastAsia="de-DE"/>
        </w:rPr>
      </w:pPr>
    </w:p>
    <w:p w14:paraId="6BCC8DC9" w14:textId="49CB1C4C" w:rsidR="006B3EBF" w:rsidRPr="00BC6F92" w:rsidRDefault="006B3EBF" w:rsidP="00C73712">
      <w:pPr>
        <w:spacing w:before="0"/>
        <w:jc w:val="both"/>
        <w:rPr>
          <w:sz w:val="23"/>
          <w:szCs w:val="23"/>
          <w:highlight w:val="yellow"/>
          <w:lang w:val="en-GB" w:eastAsia="de-DE"/>
        </w:rPr>
      </w:pPr>
      <w:r w:rsidRPr="00BC6F92">
        <w:rPr>
          <w:sz w:val="23"/>
          <w:szCs w:val="23"/>
          <w:highlight w:val="yellow"/>
          <w:lang w:val="en-GB" w:eastAsia="de-DE"/>
        </w:rPr>
        <w:t>In yellow, highlights where linkage to the underlying transaction is missing</w:t>
      </w:r>
    </w:p>
    <w:p w14:paraId="2E141E50" w14:textId="77777777" w:rsidR="006B3EBF" w:rsidRPr="00BC6F92" w:rsidRDefault="006B3EBF" w:rsidP="00C73712">
      <w:pPr>
        <w:spacing w:before="0"/>
        <w:jc w:val="both"/>
        <w:rPr>
          <w:sz w:val="23"/>
          <w:szCs w:val="23"/>
          <w:lang w:val="en-GB" w:eastAsia="de-DE"/>
        </w:rPr>
      </w:pPr>
    </w:p>
    <w:p w14:paraId="688AA43F" w14:textId="77777777" w:rsidR="006B3EBF" w:rsidRPr="00BC6F92" w:rsidRDefault="006B3EBF" w:rsidP="00C73712">
      <w:pPr>
        <w:autoSpaceDE w:val="0"/>
        <w:autoSpaceDN w:val="0"/>
        <w:adjustRightInd w:val="0"/>
        <w:spacing w:before="0"/>
        <w:jc w:val="both"/>
        <w:rPr>
          <w:b/>
          <w:bCs/>
          <w:sz w:val="23"/>
          <w:szCs w:val="23"/>
          <w:lang w:val="en-GB" w:eastAsia="de-DE"/>
        </w:rPr>
      </w:pPr>
      <w:r w:rsidRPr="00BC6F92">
        <w:rPr>
          <w:b/>
          <w:bCs/>
          <w:sz w:val="23"/>
          <w:szCs w:val="23"/>
          <w:lang w:val="en-GB" w:eastAsia="de-DE"/>
        </w:rPr>
        <w:t>SESE.024 – settlement status advice – market claims</w:t>
      </w:r>
    </w:p>
    <w:p w14:paraId="29CBF92D"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lang w:val="en-GB" w:eastAsia="de-DE"/>
        </w:rPr>
        <w:t>/SctiesSttlmTxStsAdvc/TxId/AcctSvcrTxId/XXXXXXXXXXXCLAI</w:t>
      </w:r>
    </w:p>
    <w:p w14:paraId="11230998"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lang w:val="en-GB" w:eastAsia="de-DE"/>
        </w:rPr>
        <w:t>/SctiesSttlmTxStsAdvc/TxDtls/CorpActnEvtId</w:t>
      </w:r>
    </w:p>
    <w:p w14:paraId="0833C252" w14:textId="77777777" w:rsidR="006B3EBF" w:rsidRPr="00BC6F92" w:rsidRDefault="006B3EBF" w:rsidP="00C73712">
      <w:pPr>
        <w:autoSpaceDE w:val="0"/>
        <w:autoSpaceDN w:val="0"/>
        <w:adjustRightInd w:val="0"/>
        <w:spacing w:before="0"/>
        <w:jc w:val="both"/>
        <w:rPr>
          <w:sz w:val="23"/>
          <w:szCs w:val="23"/>
          <w:highlight w:val="yellow"/>
          <w:lang w:val="en-GB" w:eastAsia="de-DE"/>
        </w:rPr>
      </w:pPr>
      <w:r w:rsidRPr="00BC6F92">
        <w:rPr>
          <w:sz w:val="23"/>
          <w:szCs w:val="23"/>
          <w:highlight w:val="yellow"/>
          <w:lang w:val="en-GB" w:eastAsia="de-DE"/>
        </w:rPr>
        <w:t>/SctiesSttlmTxStsAdvc/Lnkgs/</w:t>
      </w:r>
    </w:p>
    <w:p w14:paraId="44B27CCF" w14:textId="77777777" w:rsidR="006B3EBF" w:rsidRPr="00BC6F92" w:rsidRDefault="006B3EBF" w:rsidP="00C73712">
      <w:pPr>
        <w:autoSpaceDE w:val="0"/>
        <w:autoSpaceDN w:val="0"/>
        <w:adjustRightInd w:val="0"/>
        <w:spacing w:before="0"/>
        <w:jc w:val="both"/>
        <w:rPr>
          <w:sz w:val="23"/>
          <w:szCs w:val="23"/>
          <w:highlight w:val="yellow"/>
          <w:lang w:val="en-GB" w:eastAsia="de-DE"/>
        </w:rPr>
      </w:pPr>
      <w:r w:rsidRPr="00BC6F92">
        <w:rPr>
          <w:sz w:val="23"/>
          <w:szCs w:val="23"/>
          <w:highlight w:val="yellow"/>
          <w:lang w:val="en-GB" w:eastAsia="de-DE"/>
        </w:rPr>
        <w:t>/SctiesSttlmTxStsAdvc/Lnkgs/PrcgPos/Cd/Cd/INFO</w:t>
      </w:r>
    </w:p>
    <w:p w14:paraId="0E6AF3CF"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highlight w:val="yellow"/>
          <w:lang w:val="en-GB" w:eastAsia="de-DE"/>
        </w:rPr>
        <w:t>/SctiesSttlmTxStsAdvc/Lnkgs/Ref/SctiesSttlmTxId/ XXXXXXXXXXXRVP</w:t>
      </w:r>
    </w:p>
    <w:p w14:paraId="3818012D"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lang w:val="en-GB" w:eastAsia="de-DE"/>
        </w:rPr>
        <w:t>/SctiesSttlmTxStsAdvc/SttlmParams/SctiesTxTp/cd/CLAI</w:t>
      </w:r>
    </w:p>
    <w:p w14:paraId="32437C2F" w14:textId="77777777" w:rsidR="006B3EBF" w:rsidRPr="00BC6F92" w:rsidRDefault="006B3EBF" w:rsidP="00C73712">
      <w:pPr>
        <w:autoSpaceDE w:val="0"/>
        <w:autoSpaceDN w:val="0"/>
        <w:adjustRightInd w:val="0"/>
        <w:spacing w:before="0"/>
        <w:jc w:val="both"/>
        <w:rPr>
          <w:b/>
          <w:bCs/>
          <w:sz w:val="23"/>
          <w:szCs w:val="23"/>
          <w:lang w:val="en-GB" w:eastAsia="de-DE"/>
        </w:rPr>
      </w:pPr>
    </w:p>
    <w:p w14:paraId="0BF1DEF0" w14:textId="77777777" w:rsidR="006B3EBF" w:rsidRPr="00BC6F92" w:rsidRDefault="006B3EBF" w:rsidP="00C73712">
      <w:pPr>
        <w:autoSpaceDE w:val="0"/>
        <w:autoSpaceDN w:val="0"/>
        <w:adjustRightInd w:val="0"/>
        <w:spacing w:before="0"/>
        <w:jc w:val="both"/>
        <w:rPr>
          <w:b/>
          <w:bCs/>
          <w:sz w:val="23"/>
          <w:szCs w:val="23"/>
          <w:lang w:val="en-GB" w:eastAsia="de-DE"/>
        </w:rPr>
      </w:pPr>
      <w:r w:rsidRPr="00BC6F92">
        <w:rPr>
          <w:b/>
          <w:bCs/>
          <w:sz w:val="23"/>
          <w:szCs w:val="23"/>
          <w:lang w:val="en-GB" w:eastAsia="de-DE"/>
        </w:rPr>
        <w:lastRenderedPageBreak/>
        <w:t>SESE.025 – settlement confirmation – market claims</w:t>
      </w:r>
    </w:p>
    <w:p w14:paraId="59024A85"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lang w:val="en-GB" w:eastAsia="de-DE"/>
        </w:rPr>
        <w:t>/SctiesSttlmTxConf/TxId/AcctSvcrTxId/XXXXXXXXXXXCLAI</w:t>
      </w:r>
    </w:p>
    <w:p w14:paraId="47F1A609"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lang w:val="en-GB" w:eastAsia="de-DE"/>
        </w:rPr>
        <w:t>/SctiesSttlmTxConf/TxIdDtls/CorpActnEvtId</w:t>
      </w:r>
    </w:p>
    <w:p w14:paraId="1C7B7952" w14:textId="77777777" w:rsidR="006B3EBF" w:rsidRPr="00BC6F92" w:rsidRDefault="006B3EBF" w:rsidP="00C73712">
      <w:pPr>
        <w:autoSpaceDE w:val="0"/>
        <w:autoSpaceDN w:val="0"/>
        <w:adjustRightInd w:val="0"/>
        <w:spacing w:before="0"/>
        <w:jc w:val="both"/>
        <w:rPr>
          <w:sz w:val="23"/>
          <w:szCs w:val="23"/>
          <w:highlight w:val="yellow"/>
          <w:lang w:val="en-GB" w:eastAsia="de-DE"/>
        </w:rPr>
      </w:pPr>
      <w:r w:rsidRPr="00BC6F92">
        <w:rPr>
          <w:sz w:val="23"/>
          <w:szCs w:val="23"/>
          <w:highlight w:val="yellow"/>
          <w:lang w:val="en-GB" w:eastAsia="de-DE"/>
        </w:rPr>
        <w:t>/SctiesSttlmTxConf/Lnkgs/</w:t>
      </w:r>
    </w:p>
    <w:p w14:paraId="47E9EE4B" w14:textId="77777777" w:rsidR="006B3EBF" w:rsidRPr="00BC6F92" w:rsidRDefault="006B3EBF" w:rsidP="00C73712">
      <w:pPr>
        <w:autoSpaceDE w:val="0"/>
        <w:autoSpaceDN w:val="0"/>
        <w:adjustRightInd w:val="0"/>
        <w:spacing w:before="0"/>
        <w:jc w:val="both"/>
        <w:rPr>
          <w:sz w:val="23"/>
          <w:szCs w:val="23"/>
          <w:highlight w:val="yellow"/>
          <w:lang w:val="en-GB" w:eastAsia="de-DE"/>
        </w:rPr>
      </w:pPr>
      <w:r w:rsidRPr="00BC6F92">
        <w:rPr>
          <w:sz w:val="23"/>
          <w:szCs w:val="23"/>
          <w:highlight w:val="yellow"/>
          <w:lang w:val="en-GB" w:eastAsia="de-DE"/>
        </w:rPr>
        <w:t>/SctiesSttlmTxConf/Lnkgs/PrcgPos/Cd/Cd/INFO</w:t>
      </w:r>
    </w:p>
    <w:p w14:paraId="7467933A" w14:textId="77777777" w:rsidR="006B3EBF" w:rsidRPr="00BC6F92" w:rsidRDefault="006B3EBF" w:rsidP="00C73712">
      <w:pPr>
        <w:autoSpaceDE w:val="0"/>
        <w:autoSpaceDN w:val="0"/>
        <w:adjustRightInd w:val="0"/>
        <w:spacing w:before="0"/>
        <w:jc w:val="both"/>
        <w:rPr>
          <w:sz w:val="23"/>
          <w:szCs w:val="23"/>
          <w:lang w:val="en-GB" w:eastAsia="de-DE"/>
        </w:rPr>
      </w:pPr>
      <w:r w:rsidRPr="00BC6F92">
        <w:rPr>
          <w:sz w:val="23"/>
          <w:szCs w:val="23"/>
          <w:highlight w:val="yellow"/>
          <w:lang w:val="en-GB" w:eastAsia="de-DE"/>
        </w:rPr>
        <w:t>/SctiesSttlmTxConf/Lnkgs/Ref/SctiesSttlmTxId/ XXXXXXXXXXXRVP</w:t>
      </w:r>
    </w:p>
    <w:p w14:paraId="54DBA11A" w14:textId="44880C0F" w:rsidR="006B3EBF" w:rsidRPr="00BC6F92" w:rsidRDefault="006B3EBF" w:rsidP="00C73712">
      <w:pPr>
        <w:spacing w:before="0"/>
        <w:jc w:val="both"/>
        <w:rPr>
          <w:sz w:val="23"/>
          <w:szCs w:val="23"/>
          <w:highlight w:val="white"/>
          <w:lang w:val="en-GB" w:eastAsia="de-DE"/>
        </w:rPr>
      </w:pPr>
      <w:r w:rsidRPr="00BC6F92">
        <w:rPr>
          <w:sz w:val="23"/>
          <w:szCs w:val="23"/>
          <w:lang w:val="en-GB" w:eastAsia="de-DE"/>
        </w:rPr>
        <w:t>/SctiesSttlmTxConf/SttlmParams/SctiesTxTp/cd/CLAI</w:t>
      </w:r>
    </w:p>
    <w:p w14:paraId="38FC6C40" w14:textId="5635DA65" w:rsidR="006B3EBF" w:rsidRPr="00BC6F92" w:rsidRDefault="006B3EBF" w:rsidP="00C73712">
      <w:pPr>
        <w:spacing w:before="0"/>
        <w:jc w:val="both"/>
        <w:rPr>
          <w:sz w:val="23"/>
          <w:szCs w:val="23"/>
          <w:highlight w:val="white"/>
          <w:lang w:eastAsia="de-DE"/>
        </w:rPr>
      </w:pPr>
    </w:p>
    <w:p w14:paraId="7C28A010" w14:textId="77777777" w:rsidR="00782A7B" w:rsidRPr="00BC6F92" w:rsidRDefault="00782A7B" w:rsidP="00C73712">
      <w:pPr>
        <w:spacing w:before="0"/>
        <w:jc w:val="both"/>
        <w:rPr>
          <w:sz w:val="23"/>
          <w:szCs w:val="23"/>
          <w:highlight w:val="white"/>
          <w:lang w:eastAsia="de-DE"/>
        </w:rPr>
      </w:pPr>
    </w:p>
    <w:p w14:paraId="5F170BD3" w14:textId="77777777" w:rsidR="006B3EBF" w:rsidRPr="00BC6F92" w:rsidRDefault="006B3EBF" w:rsidP="00C73712">
      <w:pPr>
        <w:autoSpaceDE w:val="0"/>
        <w:autoSpaceDN w:val="0"/>
        <w:adjustRightInd w:val="0"/>
        <w:spacing w:before="0"/>
        <w:jc w:val="both"/>
        <w:rPr>
          <w:b/>
          <w:bCs/>
          <w:sz w:val="23"/>
          <w:szCs w:val="23"/>
          <w:lang w:eastAsia="de-DE"/>
        </w:rPr>
      </w:pPr>
      <w:r w:rsidRPr="00BC6F92">
        <w:rPr>
          <w:b/>
          <w:bCs/>
          <w:sz w:val="23"/>
          <w:szCs w:val="23"/>
          <w:lang w:eastAsia="de-DE"/>
        </w:rPr>
        <w:t>SESE.024 – settlement status advice – transformations (transformed instruction)</w:t>
      </w:r>
    </w:p>
    <w:p w14:paraId="122D91B8" w14:textId="77777777" w:rsidR="006B3EBF" w:rsidRPr="00BC6F92" w:rsidRDefault="006B3EBF" w:rsidP="00C73712">
      <w:pPr>
        <w:autoSpaceDE w:val="0"/>
        <w:autoSpaceDN w:val="0"/>
        <w:adjustRightInd w:val="0"/>
        <w:spacing w:before="0"/>
        <w:jc w:val="both"/>
        <w:rPr>
          <w:sz w:val="23"/>
          <w:szCs w:val="23"/>
          <w:lang w:eastAsia="de-DE"/>
        </w:rPr>
      </w:pPr>
      <w:r w:rsidRPr="00BC6F92">
        <w:rPr>
          <w:sz w:val="23"/>
          <w:szCs w:val="23"/>
          <w:lang w:eastAsia="de-DE"/>
        </w:rPr>
        <w:t>/SctiesSttlmTxStsAdvc/TxId/AcctSvcrTxId/XXXXXXXXXXXTRAN</w:t>
      </w:r>
    </w:p>
    <w:p w14:paraId="793C012E" w14:textId="77777777" w:rsidR="006B3EBF" w:rsidRPr="00BC6F92" w:rsidRDefault="006B3EBF" w:rsidP="00C73712">
      <w:pPr>
        <w:autoSpaceDE w:val="0"/>
        <w:autoSpaceDN w:val="0"/>
        <w:adjustRightInd w:val="0"/>
        <w:spacing w:before="0"/>
        <w:jc w:val="both"/>
        <w:rPr>
          <w:sz w:val="23"/>
          <w:szCs w:val="23"/>
          <w:lang w:eastAsia="de-DE"/>
        </w:rPr>
      </w:pPr>
      <w:r w:rsidRPr="00BC6F92">
        <w:rPr>
          <w:sz w:val="23"/>
          <w:szCs w:val="23"/>
          <w:lang w:eastAsia="de-DE"/>
        </w:rPr>
        <w:t>/SctiesSttlmTxStsAdvc/TxDtls/CorpActnEvtId</w:t>
      </w:r>
    </w:p>
    <w:p w14:paraId="0E062A8A" w14:textId="77777777" w:rsidR="006B3EBF" w:rsidRPr="00BC6F92" w:rsidRDefault="006B3EBF" w:rsidP="00C73712">
      <w:pPr>
        <w:autoSpaceDE w:val="0"/>
        <w:autoSpaceDN w:val="0"/>
        <w:adjustRightInd w:val="0"/>
        <w:spacing w:before="0"/>
        <w:jc w:val="both"/>
        <w:rPr>
          <w:sz w:val="23"/>
          <w:szCs w:val="23"/>
          <w:highlight w:val="yellow"/>
          <w:lang w:eastAsia="de-DE"/>
        </w:rPr>
      </w:pPr>
      <w:r w:rsidRPr="00BC6F92">
        <w:rPr>
          <w:sz w:val="23"/>
          <w:szCs w:val="23"/>
          <w:highlight w:val="yellow"/>
          <w:lang w:eastAsia="de-DE"/>
        </w:rPr>
        <w:t>/SctiesSttlmTxStsAdvc/Lnkgs/</w:t>
      </w:r>
    </w:p>
    <w:p w14:paraId="1D9AA81B" w14:textId="77777777" w:rsidR="006B3EBF" w:rsidRPr="00BC6F92" w:rsidRDefault="006B3EBF" w:rsidP="00C73712">
      <w:pPr>
        <w:autoSpaceDE w:val="0"/>
        <w:autoSpaceDN w:val="0"/>
        <w:adjustRightInd w:val="0"/>
        <w:spacing w:before="0"/>
        <w:jc w:val="both"/>
        <w:rPr>
          <w:sz w:val="23"/>
          <w:szCs w:val="23"/>
          <w:highlight w:val="yellow"/>
          <w:lang w:eastAsia="de-DE"/>
        </w:rPr>
      </w:pPr>
      <w:r w:rsidRPr="00BC6F92">
        <w:rPr>
          <w:sz w:val="23"/>
          <w:szCs w:val="23"/>
          <w:highlight w:val="yellow"/>
          <w:lang w:eastAsia="de-DE"/>
        </w:rPr>
        <w:t>/SctiesSttlmTxStsAdvc/Lnkgs/PrcgPos/Cd/Cd/INFO</w:t>
      </w:r>
    </w:p>
    <w:p w14:paraId="512FE195" w14:textId="77777777" w:rsidR="006B3EBF" w:rsidRPr="00BC6F92" w:rsidRDefault="006B3EBF" w:rsidP="00C73712">
      <w:pPr>
        <w:autoSpaceDE w:val="0"/>
        <w:autoSpaceDN w:val="0"/>
        <w:adjustRightInd w:val="0"/>
        <w:spacing w:before="0"/>
        <w:jc w:val="both"/>
        <w:rPr>
          <w:sz w:val="23"/>
          <w:szCs w:val="23"/>
          <w:lang w:eastAsia="de-DE"/>
        </w:rPr>
      </w:pPr>
      <w:r w:rsidRPr="00BC6F92">
        <w:rPr>
          <w:sz w:val="23"/>
          <w:szCs w:val="23"/>
          <w:highlight w:val="yellow"/>
          <w:lang w:eastAsia="de-DE"/>
        </w:rPr>
        <w:t>/SctiesSttlmTxStsAdvc/Lnkgs/Ref/SctiesSttlmTxId/ XXXXXXXXXXXRVP</w:t>
      </w:r>
    </w:p>
    <w:p w14:paraId="34EDFFCD" w14:textId="77777777" w:rsidR="006B3EBF" w:rsidRPr="00BC6F92" w:rsidRDefault="006B3EBF" w:rsidP="00C73712">
      <w:pPr>
        <w:autoSpaceDE w:val="0"/>
        <w:autoSpaceDN w:val="0"/>
        <w:adjustRightInd w:val="0"/>
        <w:spacing w:before="0"/>
        <w:jc w:val="both"/>
        <w:rPr>
          <w:sz w:val="23"/>
          <w:szCs w:val="23"/>
          <w:lang w:eastAsia="de-DE"/>
        </w:rPr>
      </w:pPr>
      <w:r w:rsidRPr="00BC6F92">
        <w:rPr>
          <w:sz w:val="23"/>
          <w:szCs w:val="23"/>
          <w:lang w:eastAsia="de-DE"/>
        </w:rPr>
        <w:t>/SctiesSttlmTxStsAdvc/SttlmParams/SttlmTxCond/cd/TRAN</w:t>
      </w:r>
    </w:p>
    <w:p w14:paraId="60BFC8AA" w14:textId="77777777" w:rsidR="006B3EBF" w:rsidRPr="00BC6F92" w:rsidRDefault="006B3EBF" w:rsidP="00C73712">
      <w:pPr>
        <w:autoSpaceDE w:val="0"/>
        <w:autoSpaceDN w:val="0"/>
        <w:adjustRightInd w:val="0"/>
        <w:spacing w:before="0"/>
        <w:jc w:val="both"/>
        <w:rPr>
          <w:sz w:val="23"/>
          <w:szCs w:val="23"/>
          <w:lang w:eastAsia="de-DE"/>
        </w:rPr>
      </w:pPr>
    </w:p>
    <w:p w14:paraId="297B19D1" w14:textId="46FC867A" w:rsidR="006B3EBF" w:rsidRPr="00BC6F92" w:rsidRDefault="006B3EBF" w:rsidP="00C73712">
      <w:pPr>
        <w:autoSpaceDE w:val="0"/>
        <w:autoSpaceDN w:val="0"/>
        <w:adjustRightInd w:val="0"/>
        <w:spacing w:before="0"/>
        <w:jc w:val="both"/>
        <w:rPr>
          <w:b/>
          <w:bCs/>
          <w:sz w:val="23"/>
          <w:szCs w:val="23"/>
          <w:lang w:eastAsia="de-DE"/>
        </w:rPr>
      </w:pPr>
      <w:r w:rsidRPr="00BC6F92">
        <w:rPr>
          <w:b/>
          <w:bCs/>
          <w:sz w:val="23"/>
          <w:szCs w:val="23"/>
          <w:lang w:eastAsia="de-DE"/>
        </w:rPr>
        <w:t>SESE.025 – settlement confirmation– transformations (transformed instruction)</w:t>
      </w:r>
    </w:p>
    <w:p w14:paraId="729A1F32" w14:textId="77777777" w:rsidR="006B3EBF" w:rsidRPr="00BC6F92" w:rsidRDefault="006B3EBF" w:rsidP="00C73712">
      <w:pPr>
        <w:autoSpaceDE w:val="0"/>
        <w:autoSpaceDN w:val="0"/>
        <w:adjustRightInd w:val="0"/>
        <w:spacing w:before="0"/>
        <w:jc w:val="both"/>
        <w:rPr>
          <w:sz w:val="23"/>
          <w:szCs w:val="23"/>
          <w:lang w:eastAsia="de-DE"/>
        </w:rPr>
      </w:pPr>
      <w:r w:rsidRPr="00BC6F92">
        <w:rPr>
          <w:sz w:val="23"/>
          <w:szCs w:val="23"/>
          <w:lang w:eastAsia="de-DE"/>
        </w:rPr>
        <w:t>/SctiesSttlmTxConf/TxId/AcctSvcrTxId/XXXXXXXXXXXTRAN</w:t>
      </w:r>
    </w:p>
    <w:p w14:paraId="1DABAAD1" w14:textId="77777777" w:rsidR="006B3EBF" w:rsidRPr="00BC6F92" w:rsidRDefault="006B3EBF" w:rsidP="00C73712">
      <w:pPr>
        <w:autoSpaceDE w:val="0"/>
        <w:autoSpaceDN w:val="0"/>
        <w:adjustRightInd w:val="0"/>
        <w:spacing w:before="0"/>
        <w:jc w:val="both"/>
        <w:rPr>
          <w:sz w:val="23"/>
          <w:szCs w:val="23"/>
          <w:lang w:eastAsia="de-DE"/>
        </w:rPr>
      </w:pPr>
      <w:r w:rsidRPr="00BC6F92">
        <w:rPr>
          <w:sz w:val="23"/>
          <w:szCs w:val="23"/>
          <w:lang w:eastAsia="de-DE"/>
        </w:rPr>
        <w:t>/SctiesSttlmTxConf/ TxIdDtls/CorpActnEvtId/</w:t>
      </w:r>
    </w:p>
    <w:p w14:paraId="5DC4CBBF" w14:textId="77777777" w:rsidR="006B3EBF" w:rsidRPr="00BC6F92" w:rsidRDefault="006B3EBF" w:rsidP="00C73712">
      <w:pPr>
        <w:autoSpaceDE w:val="0"/>
        <w:autoSpaceDN w:val="0"/>
        <w:adjustRightInd w:val="0"/>
        <w:spacing w:before="0"/>
        <w:jc w:val="both"/>
        <w:rPr>
          <w:sz w:val="23"/>
          <w:szCs w:val="23"/>
          <w:highlight w:val="yellow"/>
          <w:lang w:eastAsia="de-DE"/>
        </w:rPr>
      </w:pPr>
      <w:r w:rsidRPr="00BC6F92">
        <w:rPr>
          <w:sz w:val="23"/>
          <w:szCs w:val="23"/>
          <w:highlight w:val="yellow"/>
          <w:lang w:eastAsia="de-DE"/>
        </w:rPr>
        <w:t>/SctiesSttlmTxConf/Lnkgs/</w:t>
      </w:r>
    </w:p>
    <w:p w14:paraId="61C94496" w14:textId="77777777" w:rsidR="006B3EBF" w:rsidRPr="00BC6F92" w:rsidRDefault="006B3EBF" w:rsidP="00C73712">
      <w:pPr>
        <w:autoSpaceDE w:val="0"/>
        <w:autoSpaceDN w:val="0"/>
        <w:adjustRightInd w:val="0"/>
        <w:spacing w:before="0"/>
        <w:jc w:val="both"/>
        <w:rPr>
          <w:sz w:val="23"/>
          <w:szCs w:val="23"/>
          <w:highlight w:val="yellow"/>
          <w:lang w:eastAsia="de-DE"/>
        </w:rPr>
      </w:pPr>
      <w:r w:rsidRPr="00BC6F92">
        <w:rPr>
          <w:sz w:val="23"/>
          <w:szCs w:val="23"/>
          <w:highlight w:val="yellow"/>
          <w:lang w:eastAsia="de-DE"/>
        </w:rPr>
        <w:t>/SctiesSttlmTxConf/Lnkgs/PrcgPos/Cd/Cd/INFO</w:t>
      </w:r>
    </w:p>
    <w:p w14:paraId="48880020" w14:textId="34E19CCE" w:rsidR="006B3EBF" w:rsidRPr="00BC6F92" w:rsidRDefault="006B3EBF" w:rsidP="00C73712">
      <w:pPr>
        <w:autoSpaceDE w:val="0"/>
        <w:autoSpaceDN w:val="0"/>
        <w:adjustRightInd w:val="0"/>
        <w:spacing w:before="0"/>
        <w:jc w:val="both"/>
        <w:rPr>
          <w:sz w:val="23"/>
          <w:szCs w:val="23"/>
          <w:lang w:eastAsia="de-DE"/>
        </w:rPr>
      </w:pPr>
      <w:r w:rsidRPr="00BC6F92">
        <w:rPr>
          <w:sz w:val="23"/>
          <w:szCs w:val="23"/>
          <w:highlight w:val="yellow"/>
          <w:lang w:eastAsia="de-DE"/>
        </w:rPr>
        <w:t>/SctiesSttlmTxConf/Lnkgs/Ref/SctiesSttlmTxId/ XXXXXXXXXXXRVP</w:t>
      </w:r>
    </w:p>
    <w:p w14:paraId="588B28B3" w14:textId="24799E46" w:rsidR="006B3EBF" w:rsidRPr="00BC6F92" w:rsidRDefault="006B3EBF" w:rsidP="00C73712">
      <w:pPr>
        <w:spacing w:before="0"/>
        <w:jc w:val="both"/>
        <w:rPr>
          <w:sz w:val="23"/>
          <w:szCs w:val="23"/>
          <w:highlight w:val="white"/>
          <w:lang w:val="en-GB" w:eastAsia="de-DE"/>
        </w:rPr>
      </w:pPr>
      <w:r w:rsidRPr="00BC6F92">
        <w:rPr>
          <w:sz w:val="23"/>
          <w:szCs w:val="23"/>
          <w:lang w:val="en-GB" w:eastAsia="de-DE"/>
        </w:rPr>
        <w:t>SctiesSttlmTxConf/SttlmParams/SttlmTxCond/cd/TRAN</w:t>
      </w:r>
    </w:p>
    <w:p w14:paraId="6DA53C0F" w14:textId="77777777" w:rsidR="006B3EBF" w:rsidRPr="00BC6F92" w:rsidRDefault="006B3EBF" w:rsidP="00C73712">
      <w:pPr>
        <w:spacing w:before="0"/>
        <w:jc w:val="both"/>
        <w:rPr>
          <w:sz w:val="23"/>
          <w:szCs w:val="23"/>
          <w:highlight w:val="white"/>
          <w:lang w:val="en-GB" w:eastAsia="de-DE"/>
        </w:rPr>
      </w:pPr>
    </w:p>
    <w:p w14:paraId="76FDEDE7" w14:textId="77777777" w:rsidR="006B3EBF" w:rsidRPr="00BC6F92" w:rsidRDefault="006B3EBF" w:rsidP="00C73712">
      <w:pPr>
        <w:spacing w:before="0"/>
        <w:jc w:val="both"/>
        <w:rPr>
          <w:sz w:val="23"/>
          <w:szCs w:val="23"/>
          <w:highlight w:val="white"/>
          <w:lang w:val="en-GB" w:eastAsia="de-DE"/>
        </w:rPr>
      </w:pPr>
    </w:p>
    <w:p w14:paraId="069CAAB0" w14:textId="77777777" w:rsidR="006B3EBF" w:rsidRPr="00BC6F92" w:rsidRDefault="006B3EBF" w:rsidP="00C73712">
      <w:pPr>
        <w:spacing w:before="0"/>
        <w:jc w:val="both"/>
        <w:rPr>
          <w:sz w:val="23"/>
          <w:szCs w:val="23"/>
          <w:highlight w:val="white"/>
          <w:lang w:val="en-GB" w:eastAsia="de-DE"/>
        </w:rPr>
      </w:pPr>
    </w:p>
    <w:p w14:paraId="65DFADA4" w14:textId="77777777" w:rsidR="007615A2" w:rsidRPr="00BC6F92" w:rsidRDefault="000D46A5" w:rsidP="000D46A5">
      <w:pPr>
        <w:spacing w:before="0"/>
        <w:rPr>
          <w:rFonts w:ascii="Arial" w:hAnsi="Arial" w:cs="Arial"/>
          <w:sz w:val="16"/>
          <w:szCs w:val="16"/>
          <w:highlight w:val="white"/>
          <w:lang w:val="en-GB" w:eastAsia="de-DE"/>
        </w:rPr>
      </w:pPr>
      <w:r w:rsidRPr="00BC6F92">
        <w:rPr>
          <w:rFonts w:ascii="Arial" w:hAnsi="Arial" w:cs="Arial"/>
          <w:sz w:val="16"/>
          <w:szCs w:val="16"/>
          <w:highlight w:val="white"/>
          <w:lang w:val="en-GB" w:eastAsia="de-DE"/>
        </w:rPr>
        <w:br w:type="page"/>
      </w:r>
    </w:p>
    <w:p w14:paraId="51154CA3" w14:textId="77777777" w:rsidR="00C41DDB" w:rsidRPr="00BC6F92" w:rsidRDefault="00C41DDB" w:rsidP="009211A6">
      <w:pPr>
        <w:numPr>
          <w:ilvl w:val="0"/>
          <w:numId w:val="6"/>
        </w:numPr>
        <w:jc w:val="both"/>
        <w:rPr>
          <w:b/>
          <w:lang w:val="en-GB"/>
        </w:rPr>
      </w:pPr>
      <w:r w:rsidRPr="00BC6F92">
        <w:rPr>
          <w:b/>
          <w:lang w:val="en-GB"/>
        </w:rPr>
        <w:lastRenderedPageBreak/>
        <w:t>SEG recommendation:</w:t>
      </w:r>
    </w:p>
    <w:p w14:paraId="162F2AD0" w14:textId="77777777" w:rsidR="00C40729" w:rsidRPr="00BC6F92" w:rsidRDefault="00C40729" w:rsidP="00BC3FD9">
      <w:pPr>
        <w:jc w:val="both"/>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BC6F92" w14:paraId="216F2584" w14:textId="77777777" w:rsidTr="00130EB9">
        <w:trPr>
          <w:gridAfter w:val="3"/>
          <w:wAfter w:w="5623" w:type="dxa"/>
        </w:trPr>
        <w:tc>
          <w:tcPr>
            <w:tcW w:w="1242" w:type="dxa"/>
            <w:gridSpan w:val="2"/>
          </w:tcPr>
          <w:p w14:paraId="2A8A3485" w14:textId="77777777" w:rsidR="00C40729" w:rsidRPr="00BC6F92" w:rsidRDefault="00C40729" w:rsidP="00BC3FD9">
            <w:pPr>
              <w:jc w:val="both"/>
              <w:rPr>
                <w:b/>
                <w:szCs w:val="24"/>
                <w:lang w:val="en-GB"/>
              </w:rPr>
            </w:pPr>
            <w:r w:rsidRPr="00BC6F92">
              <w:rPr>
                <w:b/>
                <w:szCs w:val="24"/>
                <w:lang w:val="en-GB"/>
              </w:rPr>
              <w:t>Consider</w:t>
            </w:r>
          </w:p>
        </w:tc>
        <w:tc>
          <w:tcPr>
            <w:tcW w:w="567" w:type="dxa"/>
          </w:tcPr>
          <w:p w14:paraId="130DACAF" w14:textId="58150D27" w:rsidR="00C40729" w:rsidRPr="00BC6F92" w:rsidRDefault="00CF09F7" w:rsidP="00BC3FD9">
            <w:pPr>
              <w:jc w:val="both"/>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EA66B4D" w14:textId="77777777" w:rsidR="00C40729" w:rsidRPr="00BC6F92" w:rsidRDefault="00C40729" w:rsidP="00BC3FD9">
            <w:pPr>
              <w:jc w:val="both"/>
              <w:rPr>
                <w:b/>
                <w:szCs w:val="24"/>
                <w:lang w:val="en-GB"/>
              </w:rPr>
            </w:pPr>
            <w:r w:rsidRPr="00BC6F92">
              <w:rPr>
                <w:b/>
                <w:szCs w:val="24"/>
                <w:lang w:val="en-GB"/>
              </w:rPr>
              <w:t>Timing</w:t>
            </w:r>
          </w:p>
        </w:tc>
      </w:tr>
      <w:tr w:rsidR="00130EB9" w:rsidRPr="00BC6F92" w14:paraId="2B9D5F26" w14:textId="77777777" w:rsidTr="00130EB9">
        <w:trPr>
          <w:gridBefore w:val="1"/>
          <w:gridAfter w:val="1"/>
          <w:wBefore w:w="1059" w:type="dxa"/>
          <w:wAfter w:w="945" w:type="dxa"/>
          <w:trHeight w:val="501"/>
        </w:trPr>
        <w:tc>
          <w:tcPr>
            <w:tcW w:w="750" w:type="dxa"/>
            <w:gridSpan w:val="2"/>
            <w:tcBorders>
              <w:left w:val="nil"/>
              <w:bottom w:val="nil"/>
            </w:tcBorders>
          </w:tcPr>
          <w:p w14:paraId="3FFF09CD" w14:textId="77777777" w:rsidR="00130EB9" w:rsidRPr="00BC6F92" w:rsidRDefault="00130EB9" w:rsidP="00BC3FD9">
            <w:pPr>
              <w:jc w:val="both"/>
              <w:rPr>
                <w:szCs w:val="24"/>
                <w:lang w:val="en-GB"/>
              </w:rPr>
            </w:pPr>
          </w:p>
        </w:tc>
        <w:tc>
          <w:tcPr>
            <w:tcW w:w="5954" w:type="dxa"/>
            <w:gridSpan w:val="2"/>
          </w:tcPr>
          <w:p w14:paraId="3627D6F0" w14:textId="77777777" w:rsidR="00130EB9" w:rsidRPr="00BC6F92" w:rsidRDefault="00130EB9" w:rsidP="00BC3FD9">
            <w:pPr>
              <w:spacing w:before="0"/>
              <w:jc w:val="both"/>
              <w:rPr>
                <w:szCs w:val="24"/>
                <w:lang w:val="en-GB"/>
              </w:rPr>
            </w:pPr>
            <w:r w:rsidRPr="00BC6F92">
              <w:rPr>
                <w:szCs w:val="24"/>
                <w:lang w:val="en-GB"/>
              </w:rPr>
              <w:t xml:space="preserve">- </w:t>
            </w:r>
            <w:r w:rsidRPr="00BC6F92">
              <w:rPr>
                <w:b/>
                <w:szCs w:val="24"/>
                <w:lang w:val="en-GB"/>
              </w:rPr>
              <w:t>Next yearly cycle</w:t>
            </w:r>
            <w:r w:rsidR="00FF4AEF" w:rsidRPr="00BC6F92">
              <w:rPr>
                <w:b/>
                <w:szCs w:val="24"/>
                <w:lang w:val="en-GB"/>
              </w:rPr>
              <w:t>: 201</w:t>
            </w:r>
            <w:r w:rsidR="00231CFF" w:rsidRPr="00BC6F92">
              <w:rPr>
                <w:b/>
                <w:szCs w:val="24"/>
                <w:lang w:val="en-GB"/>
              </w:rPr>
              <w:t>5</w:t>
            </w:r>
            <w:r w:rsidRPr="00BC6F92">
              <w:rPr>
                <w:b/>
                <w:szCs w:val="24"/>
                <w:lang w:val="en-GB"/>
              </w:rPr>
              <w:t>/201</w:t>
            </w:r>
            <w:r w:rsidR="00231CFF" w:rsidRPr="00BC6F92">
              <w:rPr>
                <w:b/>
                <w:szCs w:val="24"/>
                <w:lang w:val="en-GB"/>
              </w:rPr>
              <w:t>6</w:t>
            </w:r>
          </w:p>
          <w:p w14:paraId="316D8A62" w14:textId="77777777" w:rsidR="00130EB9" w:rsidRPr="00BC6F92" w:rsidRDefault="00130EB9" w:rsidP="00BC3FD9">
            <w:pPr>
              <w:spacing w:before="0"/>
              <w:jc w:val="both"/>
              <w:rPr>
                <w:szCs w:val="24"/>
                <w:lang w:val="en-GB"/>
              </w:rPr>
            </w:pPr>
            <w:r w:rsidRPr="00BC6F92">
              <w:rPr>
                <w:szCs w:val="24"/>
                <w:lang w:val="en-GB"/>
              </w:rPr>
              <w:t>(the change will be considered for implementation in the yearly maintenance cycle which starts in 201</w:t>
            </w:r>
            <w:r w:rsidR="0086406A" w:rsidRPr="00BC6F92">
              <w:rPr>
                <w:szCs w:val="24"/>
                <w:lang w:val="en-GB"/>
              </w:rPr>
              <w:t>5</w:t>
            </w:r>
            <w:r w:rsidRPr="00BC6F92">
              <w:rPr>
                <w:szCs w:val="24"/>
                <w:lang w:val="en-GB"/>
              </w:rPr>
              <w:t xml:space="preserve"> and completes with the publication of new messag</w:t>
            </w:r>
            <w:r w:rsidR="00EB6791" w:rsidRPr="00BC6F92">
              <w:rPr>
                <w:szCs w:val="24"/>
                <w:lang w:val="en-GB"/>
              </w:rPr>
              <w:t>e versions in the spring of 201</w:t>
            </w:r>
            <w:r w:rsidR="0086406A" w:rsidRPr="00BC6F92">
              <w:rPr>
                <w:szCs w:val="24"/>
                <w:lang w:val="en-GB"/>
              </w:rPr>
              <w:t>6</w:t>
            </w:r>
            <w:r w:rsidRPr="00BC6F92">
              <w:rPr>
                <w:szCs w:val="24"/>
                <w:lang w:val="en-GB"/>
              </w:rPr>
              <w:t>)</w:t>
            </w:r>
          </w:p>
        </w:tc>
        <w:tc>
          <w:tcPr>
            <w:tcW w:w="425" w:type="dxa"/>
            <w:tcBorders>
              <w:bottom w:val="single" w:sz="4" w:space="0" w:color="auto"/>
            </w:tcBorders>
          </w:tcPr>
          <w:p w14:paraId="5262993B" w14:textId="3AA676B2" w:rsidR="00130EB9" w:rsidRPr="00BC6F92" w:rsidRDefault="00CF09F7" w:rsidP="00BC3FD9">
            <w:pPr>
              <w:spacing w:before="0"/>
              <w:jc w:val="both"/>
              <w:rPr>
                <w:color w:val="FF0000"/>
                <w:szCs w:val="24"/>
                <w:lang w:val="en-GB"/>
              </w:rPr>
            </w:pPr>
            <w:r>
              <w:rPr>
                <w:color w:val="FF0000"/>
                <w:szCs w:val="24"/>
                <w:lang w:val="en-GB"/>
              </w:rPr>
              <w:t>X</w:t>
            </w:r>
            <w:bookmarkStart w:id="0" w:name="_GoBack"/>
            <w:bookmarkEnd w:id="0"/>
          </w:p>
        </w:tc>
      </w:tr>
      <w:tr w:rsidR="00C40729" w:rsidRPr="00BC6F92" w14:paraId="2BC43C40" w14:textId="77777777" w:rsidTr="00130EB9">
        <w:trPr>
          <w:gridBefore w:val="1"/>
          <w:gridAfter w:val="1"/>
          <w:wBefore w:w="1059" w:type="dxa"/>
          <w:wAfter w:w="945" w:type="dxa"/>
          <w:trHeight w:val="501"/>
        </w:trPr>
        <w:tc>
          <w:tcPr>
            <w:tcW w:w="750" w:type="dxa"/>
            <w:gridSpan w:val="2"/>
            <w:tcBorders>
              <w:top w:val="nil"/>
              <w:left w:val="nil"/>
              <w:bottom w:val="nil"/>
            </w:tcBorders>
          </w:tcPr>
          <w:p w14:paraId="4F58122A" w14:textId="77777777" w:rsidR="00C40729" w:rsidRPr="00BC6F92" w:rsidRDefault="00C40729" w:rsidP="00BC3FD9">
            <w:pPr>
              <w:spacing w:before="0"/>
              <w:jc w:val="both"/>
              <w:rPr>
                <w:szCs w:val="24"/>
                <w:lang w:val="en-GB"/>
              </w:rPr>
            </w:pPr>
          </w:p>
        </w:tc>
        <w:tc>
          <w:tcPr>
            <w:tcW w:w="5954" w:type="dxa"/>
            <w:gridSpan w:val="2"/>
          </w:tcPr>
          <w:p w14:paraId="00BDBB8A" w14:textId="77777777" w:rsidR="00C40729" w:rsidRPr="00BC6F92" w:rsidRDefault="00C40729" w:rsidP="00BC3FD9">
            <w:pPr>
              <w:spacing w:before="0"/>
              <w:jc w:val="both"/>
              <w:rPr>
                <w:szCs w:val="24"/>
                <w:lang w:val="en-GB"/>
              </w:rPr>
            </w:pPr>
            <w:r w:rsidRPr="00BC6F92">
              <w:rPr>
                <w:szCs w:val="24"/>
                <w:lang w:val="en-GB"/>
              </w:rPr>
              <w:t xml:space="preserve">- </w:t>
            </w:r>
            <w:r w:rsidRPr="00BC6F92">
              <w:rPr>
                <w:b/>
                <w:szCs w:val="24"/>
                <w:lang w:val="en-GB"/>
              </w:rPr>
              <w:t>At the occasion of the next maintenance of the messages</w:t>
            </w:r>
          </w:p>
          <w:p w14:paraId="09D04E4A" w14:textId="77777777" w:rsidR="00C40729" w:rsidRPr="00BC6F92" w:rsidRDefault="00C40729" w:rsidP="00BC3FD9">
            <w:pPr>
              <w:spacing w:before="0"/>
              <w:jc w:val="both"/>
              <w:rPr>
                <w:szCs w:val="24"/>
                <w:lang w:val="en-GB"/>
              </w:rPr>
            </w:pPr>
            <w:r w:rsidRPr="00BC6F92">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758265B" w14:textId="77777777" w:rsidR="00C40729" w:rsidRPr="00BC6F92" w:rsidRDefault="00C40729" w:rsidP="00BC3FD9">
            <w:pPr>
              <w:spacing w:before="0"/>
              <w:jc w:val="both"/>
              <w:rPr>
                <w:color w:val="FF0000"/>
                <w:szCs w:val="24"/>
                <w:lang w:val="en-GB"/>
              </w:rPr>
            </w:pPr>
          </w:p>
        </w:tc>
      </w:tr>
      <w:tr w:rsidR="00C40729" w:rsidRPr="00BC6F92" w14:paraId="5921AF74" w14:textId="77777777" w:rsidTr="00130EB9">
        <w:trPr>
          <w:gridBefore w:val="1"/>
          <w:wBefore w:w="1059" w:type="dxa"/>
          <w:trHeight w:val="511"/>
        </w:trPr>
        <w:tc>
          <w:tcPr>
            <w:tcW w:w="750" w:type="dxa"/>
            <w:gridSpan w:val="2"/>
            <w:tcBorders>
              <w:top w:val="nil"/>
              <w:left w:val="nil"/>
              <w:bottom w:val="nil"/>
            </w:tcBorders>
          </w:tcPr>
          <w:p w14:paraId="22483483" w14:textId="77777777" w:rsidR="00C40729" w:rsidRPr="00BC6F92" w:rsidRDefault="00C40729" w:rsidP="00BC3FD9">
            <w:pPr>
              <w:spacing w:before="0"/>
              <w:jc w:val="both"/>
              <w:rPr>
                <w:szCs w:val="24"/>
                <w:lang w:val="en-GB"/>
              </w:rPr>
            </w:pPr>
          </w:p>
        </w:tc>
        <w:tc>
          <w:tcPr>
            <w:tcW w:w="5954" w:type="dxa"/>
            <w:gridSpan w:val="2"/>
          </w:tcPr>
          <w:p w14:paraId="47134BD6" w14:textId="77777777" w:rsidR="00C40729" w:rsidRPr="00BC6F92" w:rsidRDefault="00C40729" w:rsidP="00BC3FD9">
            <w:pPr>
              <w:spacing w:before="0"/>
              <w:jc w:val="both"/>
              <w:rPr>
                <w:szCs w:val="24"/>
                <w:lang w:val="en-GB"/>
              </w:rPr>
            </w:pPr>
            <w:r w:rsidRPr="00BC6F92">
              <w:rPr>
                <w:szCs w:val="24"/>
                <w:lang w:val="en-GB"/>
              </w:rPr>
              <w:t xml:space="preserve">- </w:t>
            </w:r>
            <w:r w:rsidRPr="00BC6F92">
              <w:rPr>
                <w:b/>
                <w:szCs w:val="24"/>
                <w:lang w:val="en-GB"/>
              </w:rPr>
              <w:t>Urgent unscheduled</w:t>
            </w:r>
          </w:p>
          <w:p w14:paraId="4A512274" w14:textId="77777777" w:rsidR="00C40729" w:rsidRPr="00BC6F92" w:rsidRDefault="00C40729" w:rsidP="00BC3FD9">
            <w:pPr>
              <w:spacing w:before="0"/>
              <w:jc w:val="both"/>
              <w:rPr>
                <w:szCs w:val="24"/>
                <w:lang w:val="en-GB"/>
              </w:rPr>
            </w:pPr>
            <w:r w:rsidRPr="00BC6F92">
              <w:rPr>
                <w:szCs w:val="24"/>
                <w:lang w:val="en-GB"/>
              </w:rPr>
              <w:t>(the change justifies an urgent implementation outside of the normal yearly cycle)</w:t>
            </w:r>
          </w:p>
        </w:tc>
        <w:tc>
          <w:tcPr>
            <w:tcW w:w="425" w:type="dxa"/>
          </w:tcPr>
          <w:p w14:paraId="25A385DF" w14:textId="77777777" w:rsidR="00C40729" w:rsidRPr="00BC6F92" w:rsidRDefault="00C40729" w:rsidP="00BC3FD9">
            <w:pPr>
              <w:jc w:val="both"/>
              <w:rPr>
                <w:color w:val="FF0000"/>
                <w:szCs w:val="24"/>
                <w:lang w:val="en-GB"/>
              </w:rPr>
            </w:pPr>
          </w:p>
        </w:tc>
        <w:tc>
          <w:tcPr>
            <w:tcW w:w="945" w:type="dxa"/>
            <w:tcBorders>
              <w:top w:val="nil"/>
              <w:bottom w:val="nil"/>
              <w:right w:val="nil"/>
            </w:tcBorders>
          </w:tcPr>
          <w:p w14:paraId="0D538BAA" w14:textId="77777777" w:rsidR="00C40729" w:rsidRPr="00BC6F92" w:rsidRDefault="00C40729" w:rsidP="00BC3FD9">
            <w:pPr>
              <w:ind w:left="360"/>
              <w:jc w:val="both"/>
              <w:rPr>
                <w:szCs w:val="24"/>
                <w:lang w:val="en-GB"/>
              </w:rPr>
            </w:pPr>
          </w:p>
        </w:tc>
      </w:tr>
      <w:tr w:rsidR="00C40729" w:rsidRPr="00BC6F92" w14:paraId="11F9B588" w14:textId="77777777" w:rsidTr="00130EB9">
        <w:trPr>
          <w:gridBefore w:val="1"/>
          <w:wBefore w:w="1059" w:type="dxa"/>
          <w:trHeight w:val="511"/>
        </w:trPr>
        <w:tc>
          <w:tcPr>
            <w:tcW w:w="750" w:type="dxa"/>
            <w:gridSpan w:val="2"/>
            <w:tcBorders>
              <w:top w:val="nil"/>
              <w:left w:val="nil"/>
              <w:bottom w:val="nil"/>
            </w:tcBorders>
          </w:tcPr>
          <w:p w14:paraId="7C54E5E8" w14:textId="77777777" w:rsidR="00C40729" w:rsidRPr="00BC6F92" w:rsidRDefault="00C40729" w:rsidP="00BC3FD9">
            <w:pPr>
              <w:spacing w:before="0"/>
              <w:jc w:val="both"/>
              <w:rPr>
                <w:szCs w:val="24"/>
                <w:lang w:val="en-GB"/>
              </w:rPr>
            </w:pPr>
          </w:p>
        </w:tc>
        <w:tc>
          <w:tcPr>
            <w:tcW w:w="6379" w:type="dxa"/>
            <w:gridSpan w:val="3"/>
          </w:tcPr>
          <w:p w14:paraId="6004DD48" w14:textId="77777777" w:rsidR="00C40729" w:rsidRPr="00BC6F92" w:rsidRDefault="00C40729" w:rsidP="00BC3FD9">
            <w:pPr>
              <w:jc w:val="both"/>
              <w:rPr>
                <w:color w:val="FF0000"/>
                <w:szCs w:val="24"/>
                <w:lang w:val="en-GB"/>
              </w:rPr>
            </w:pPr>
            <w:r w:rsidRPr="00BC6F92">
              <w:rPr>
                <w:szCs w:val="24"/>
                <w:lang w:val="en-GB"/>
              </w:rPr>
              <w:t xml:space="preserve">- </w:t>
            </w:r>
            <w:r w:rsidRPr="00BC6F92">
              <w:rPr>
                <w:b/>
                <w:szCs w:val="24"/>
                <w:lang w:val="en-GB"/>
              </w:rPr>
              <w:t>Other timing:</w:t>
            </w:r>
          </w:p>
        </w:tc>
        <w:tc>
          <w:tcPr>
            <w:tcW w:w="945" w:type="dxa"/>
            <w:tcBorders>
              <w:top w:val="nil"/>
              <w:bottom w:val="nil"/>
              <w:right w:val="nil"/>
            </w:tcBorders>
          </w:tcPr>
          <w:p w14:paraId="35A9F17E" w14:textId="77777777" w:rsidR="00C40729" w:rsidRPr="00BC6F92" w:rsidRDefault="00C40729" w:rsidP="00BC3FD9">
            <w:pPr>
              <w:ind w:left="360"/>
              <w:jc w:val="both"/>
              <w:rPr>
                <w:szCs w:val="24"/>
                <w:lang w:val="en-GB"/>
              </w:rPr>
            </w:pPr>
          </w:p>
          <w:p w14:paraId="53A23C8C" w14:textId="77777777" w:rsidR="00C40729" w:rsidRPr="00BC6F92" w:rsidRDefault="00C40729" w:rsidP="00BC3FD9">
            <w:pPr>
              <w:ind w:left="360"/>
              <w:jc w:val="both"/>
              <w:rPr>
                <w:szCs w:val="24"/>
                <w:lang w:val="en-GB"/>
              </w:rPr>
            </w:pPr>
          </w:p>
        </w:tc>
      </w:tr>
    </w:tbl>
    <w:p w14:paraId="33B5E0BF" w14:textId="77777777" w:rsidR="00C41DDB" w:rsidRPr="00BC6F92" w:rsidRDefault="00C41DDB" w:rsidP="00BC3FD9">
      <w:pPr>
        <w:jc w:val="both"/>
        <w:rPr>
          <w:szCs w:val="24"/>
          <w:lang w:val="en-GB"/>
        </w:rPr>
      </w:pPr>
      <w:r w:rsidRPr="00BC6F92">
        <w:rPr>
          <w:szCs w:val="24"/>
          <w:lang w:val="en-GB"/>
        </w:rPr>
        <w:t>Comments:</w:t>
      </w:r>
    </w:p>
    <w:p w14:paraId="637BDE05" w14:textId="77777777" w:rsidR="00C41DDB" w:rsidRPr="00BC6F92" w:rsidRDefault="00C41DDB" w:rsidP="00BC3FD9">
      <w:pPr>
        <w:jc w:val="both"/>
        <w:rPr>
          <w:szCs w:val="24"/>
          <w:lang w:val="en-GB"/>
        </w:rPr>
      </w:pPr>
    </w:p>
    <w:p w14:paraId="22014F78" w14:textId="77777777" w:rsidR="00B307A7" w:rsidRPr="00BC6F92" w:rsidRDefault="00B307A7" w:rsidP="00BC3FD9">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BC6F92" w14:paraId="094CD4AB" w14:textId="77777777" w:rsidTr="00C40729">
        <w:tc>
          <w:tcPr>
            <w:tcW w:w="1242" w:type="dxa"/>
          </w:tcPr>
          <w:p w14:paraId="2752666B" w14:textId="77777777" w:rsidR="00C41DDB" w:rsidRPr="00BC6F92" w:rsidRDefault="00C41DDB" w:rsidP="00BC3FD9">
            <w:pPr>
              <w:jc w:val="both"/>
              <w:rPr>
                <w:b/>
                <w:szCs w:val="24"/>
                <w:lang w:val="en-GB"/>
              </w:rPr>
            </w:pPr>
            <w:r w:rsidRPr="00BC6F92">
              <w:rPr>
                <w:b/>
                <w:szCs w:val="24"/>
                <w:lang w:val="en-GB"/>
              </w:rPr>
              <w:t>Reject</w:t>
            </w:r>
          </w:p>
        </w:tc>
        <w:tc>
          <w:tcPr>
            <w:tcW w:w="567" w:type="dxa"/>
          </w:tcPr>
          <w:p w14:paraId="1F2FD6B6" w14:textId="77777777" w:rsidR="00C41DDB" w:rsidRPr="00BC6F92" w:rsidRDefault="00C41DDB" w:rsidP="00BC3FD9">
            <w:pPr>
              <w:jc w:val="both"/>
              <w:rPr>
                <w:color w:val="FF0000"/>
                <w:szCs w:val="24"/>
                <w:lang w:val="en-GB"/>
              </w:rPr>
            </w:pPr>
          </w:p>
        </w:tc>
      </w:tr>
    </w:tbl>
    <w:p w14:paraId="638761B6" w14:textId="77777777" w:rsidR="007D6A9F" w:rsidRPr="00BC6F92" w:rsidRDefault="00C41DDB" w:rsidP="00BC3FD9">
      <w:pPr>
        <w:jc w:val="both"/>
        <w:rPr>
          <w:szCs w:val="24"/>
          <w:lang w:val="en-GB"/>
        </w:rPr>
      </w:pPr>
      <w:r w:rsidRPr="00BC6F92">
        <w:rPr>
          <w:szCs w:val="24"/>
          <w:lang w:val="en-GB"/>
        </w:rPr>
        <w:t>Reason for rejection:</w:t>
      </w:r>
    </w:p>
    <w:sectPr w:rsidR="007D6A9F" w:rsidRPr="00BC6F92" w:rsidSect="00101BFC">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A9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1FD75" w14:textId="77777777" w:rsidR="00676909" w:rsidRDefault="00676909">
      <w:r>
        <w:separator/>
      </w:r>
    </w:p>
  </w:endnote>
  <w:endnote w:type="continuationSeparator" w:id="0">
    <w:p w14:paraId="255FE158" w14:textId="77777777" w:rsidR="00676909" w:rsidRDefault="0067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B1E0F" w14:textId="77777777" w:rsidR="00601095" w:rsidRDefault="00601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76CD4" w14:textId="309016E4" w:rsidR="00567F13" w:rsidRDefault="00601095">
    <w:pPr>
      <w:pStyle w:val="Footer"/>
      <w:rPr>
        <w:rStyle w:val="PageNumber"/>
      </w:rPr>
    </w:pPr>
    <w:fldSimple w:instr=" FILENAME   \* MERGEFORMAT ">
      <w:r>
        <w:rPr>
          <w:noProof/>
        </w:rPr>
        <w:t>CR05</w:t>
      </w:r>
      <w:r w:rsidR="00CF09F7">
        <w:rPr>
          <w:noProof/>
        </w:rPr>
        <w:t>11_T2S_Eurosystem_sese024_025_v2</w:t>
      </w:r>
    </w:fldSimple>
    <w:r w:rsidR="00CF09F7">
      <w:rPr>
        <w:noProof/>
      </w:rPr>
      <w:t xml:space="preserve"> </w:t>
    </w:r>
    <w:r w:rsidR="00567F13">
      <w:t xml:space="preserve">Produced by </w:t>
    </w:r>
    <w:r>
      <w:t>T2S/Eurosystem on 27 May 2015</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7079A">
      <w:rPr>
        <w:rStyle w:val="PageNumber"/>
        <w:noProof/>
      </w:rPr>
      <w:t>4</w:t>
    </w:r>
    <w:r w:rsidR="00567F13">
      <w:rPr>
        <w:rStyle w:val="PageNumber"/>
      </w:rPr>
      <w:fldChar w:fldCharType="end"/>
    </w:r>
  </w:p>
  <w:p w14:paraId="2E96A223" w14:textId="77777777" w:rsidR="00567F13" w:rsidRDefault="00567F13">
    <w:pPr>
      <w:pStyle w:val="Footer"/>
      <w:rPr>
        <w:rStyle w:val="PageNumber"/>
      </w:rPr>
    </w:pPr>
  </w:p>
  <w:p w14:paraId="63D6EE1F" w14:textId="77777777"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C762" w14:textId="77777777" w:rsidR="00601095" w:rsidRDefault="00601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81958" w14:textId="77777777" w:rsidR="00676909" w:rsidRDefault="00676909">
      <w:r>
        <w:separator/>
      </w:r>
    </w:p>
  </w:footnote>
  <w:footnote w:type="continuationSeparator" w:id="0">
    <w:p w14:paraId="3467F2C9" w14:textId="77777777" w:rsidR="00676909" w:rsidRDefault="0067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0343" w14:textId="77777777" w:rsidR="00601095" w:rsidRDefault="006010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7472" w14:textId="77777777" w:rsidR="00601095" w:rsidRDefault="006010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B6334" w14:textId="77777777" w:rsidR="00601095" w:rsidRDefault="00601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782ECD"/>
    <w:multiLevelType w:val="hybridMultilevel"/>
    <w:tmpl w:val="585C49DE"/>
    <w:lvl w:ilvl="0" w:tplc="47F8521C">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C87C90"/>
    <w:multiLevelType w:val="hybridMultilevel"/>
    <w:tmpl w:val="16005BE6"/>
    <w:lvl w:ilvl="0" w:tplc="153276C0">
      <w:start w:val="1"/>
      <w:numFmt w:val="lowerRoman"/>
      <w:lvlText w:val="%1)"/>
      <w:lvlJc w:val="left"/>
      <w:pPr>
        <w:ind w:left="1434" w:hanging="720"/>
      </w:pPr>
      <w:rPr>
        <w:rFonts w:hint="default"/>
      </w:rPr>
    </w:lvl>
    <w:lvl w:ilvl="1" w:tplc="040A0019" w:tentative="1">
      <w:start w:val="1"/>
      <w:numFmt w:val="lowerLetter"/>
      <w:lvlText w:val="%2."/>
      <w:lvlJc w:val="left"/>
      <w:pPr>
        <w:ind w:left="1794" w:hanging="360"/>
      </w:pPr>
    </w:lvl>
    <w:lvl w:ilvl="2" w:tplc="040A001B" w:tentative="1">
      <w:start w:val="1"/>
      <w:numFmt w:val="lowerRoman"/>
      <w:lvlText w:val="%3."/>
      <w:lvlJc w:val="right"/>
      <w:pPr>
        <w:ind w:left="2514" w:hanging="180"/>
      </w:pPr>
    </w:lvl>
    <w:lvl w:ilvl="3" w:tplc="040A000F" w:tentative="1">
      <w:start w:val="1"/>
      <w:numFmt w:val="decimal"/>
      <w:lvlText w:val="%4."/>
      <w:lvlJc w:val="left"/>
      <w:pPr>
        <w:ind w:left="3234" w:hanging="360"/>
      </w:pPr>
    </w:lvl>
    <w:lvl w:ilvl="4" w:tplc="040A0019" w:tentative="1">
      <w:start w:val="1"/>
      <w:numFmt w:val="lowerLetter"/>
      <w:lvlText w:val="%5."/>
      <w:lvlJc w:val="left"/>
      <w:pPr>
        <w:ind w:left="3954" w:hanging="360"/>
      </w:pPr>
    </w:lvl>
    <w:lvl w:ilvl="5" w:tplc="040A001B" w:tentative="1">
      <w:start w:val="1"/>
      <w:numFmt w:val="lowerRoman"/>
      <w:lvlText w:val="%6."/>
      <w:lvlJc w:val="right"/>
      <w:pPr>
        <w:ind w:left="4674" w:hanging="180"/>
      </w:pPr>
    </w:lvl>
    <w:lvl w:ilvl="6" w:tplc="040A000F" w:tentative="1">
      <w:start w:val="1"/>
      <w:numFmt w:val="decimal"/>
      <w:lvlText w:val="%7."/>
      <w:lvlJc w:val="left"/>
      <w:pPr>
        <w:ind w:left="5394" w:hanging="360"/>
      </w:pPr>
    </w:lvl>
    <w:lvl w:ilvl="7" w:tplc="040A0019" w:tentative="1">
      <w:start w:val="1"/>
      <w:numFmt w:val="lowerLetter"/>
      <w:lvlText w:val="%8."/>
      <w:lvlJc w:val="left"/>
      <w:pPr>
        <w:ind w:left="6114" w:hanging="360"/>
      </w:pPr>
    </w:lvl>
    <w:lvl w:ilvl="8" w:tplc="040A001B" w:tentative="1">
      <w:start w:val="1"/>
      <w:numFmt w:val="lowerRoman"/>
      <w:lvlText w:val="%9."/>
      <w:lvlJc w:val="right"/>
      <w:pPr>
        <w:ind w:left="6834" w:hanging="180"/>
      </w:pPr>
    </w:lvl>
  </w:abstractNum>
  <w:abstractNum w:abstractNumId="9">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6B855D2"/>
    <w:multiLevelType w:val="hybridMultilevel"/>
    <w:tmpl w:val="083C2D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D53902"/>
    <w:multiLevelType w:val="hybridMultilevel"/>
    <w:tmpl w:val="6B1A3016"/>
    <w:lvl w:ilvl="0" w:tplc="B4A6CF7C">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A02573B"/>
    <w:multiLevelType w:val="hybridMultilevel"/>
    <w:tmpl w:val="70E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F9159BA"/>
    <w:multiLevelType w:val="hybridMultilevel"/>
    <w:tmpl w:val="E3885A4E"/>
    <w:lvl w:ilvl="0" w:tplc="C49AE880">
      <w:start w:val="1"/>
      <w:numFmt w:val="decimal"/>
      <w:lvlText w:val="%1."/>
      <w:lvlJc w:val="left"/>
      <w:pPr>
        <w:ind w:left="720" w:hanging="720"/>
      </w:pPr>
      <w:rPr>
        <w:rFonts w:hint="default"/>
        <w:b/>
      </w:rPr>
    </w:lvl>
    <w:lvl w:ilvl="1" w:tplc="040A0019" w:tentative="1">
      <w:start w:val="1"/>
      <w:numFmt w:val="lowerLetter"/>
      <w:lvlText w:val="%2."/>
      <w:lvlJc w:val="left"/>
      <w:pPr>
        <w:ind w:left="726" w:hanging="360"/>
      </w:pPr>
    </w:lvl>
    <w:lvl w:ilvl="2" w:tplc="040A001B" w:tentative="1">
      <w:start w:val="1"/>
      <w:numFmt w:val="lowerRoman"/>
      <w:lvlText w:val="%3."/>
      <w:lvlJc w:val="right"/>
      <w:pPr>
        <w:ind w:left="1446" w:hanging="180"/>
      </w:pPr>
    </w:lvl>
    <w:lvl w:ilvl="3" w:tplc="040A000F" w:tentative="1">
      <w:start w:val="1"/>
      <w:numFmt w:val="decimal"/>
      <w:lvlText w:val="%4."/>
      <w:lvlJc w:val="left"/>
      <w:pPr>
        <w:ind w:left="2166" w:hanging="360"/>
      </w:pPr>
    </w:lvl>
    <w:lvl w:ilvl="4" w:tplc="040A0019" w:tentative="1">
      <w:start w:val="1"/>
      <w:numFmt w:val="lowerLetter"/>
      <w:lvlText w:val="%5."/>
      <w:lvlJc w:val="left"/>
      <w:pPr>
        <w:ind w:left="2886" w:hanging="360"/>
      </w:pPr>
    </w:lvl>
    <w:lvl w:ilvl="5" w:tplc="040A001B" w:tentative="1">
      <w:start w:val="1"/>
      <w:numFmt w:val="lowerRoman"/>
      <w:lvlText w:val="%6."/>
      <w:lvlJc w:val="right"/>
      <w:pPr>
        <w:ind w:left="3606" w:hanging="180"/>
      </w:pPr>
    </w:lvl>
    <w:lvl w:ilvl="6" w:tplc="040A000F" w:tentative="1">
      <w:start w:val="1"/>
      <w:numFmt w:val="decimal"/>
      <w:lvlText w:val="%7."/>
      <w:lvlJc w:val="left"/>
      <w:pPr>
        <w:ind w:left="4326" w:hanging="360"/>
      </w:pPr>
    </w:lvl>
    <w:lvl w:ilvl="7" w:tplc="040A0019" w:tentative="1">
      <w:start w:val="1"/>
      <w:numFmt w:val="lowerLetter"/>
      <w:lvlText w:val="%8."/>
      <w:lvlJc w:val="left"/>
      <w:pPr>
        <w:ind w:left="5046" w:hanging="360"/>
      </w:pPr>
    </w:lvl>
    <w:lvl w:ilvl="8" w:tplc="040A001B" w:tentative="1">
      <w:start w:val="1"/>
      <w:numFmt w:val="lowerRoman"/>
      <w:lvlText w:val="%9."/>
      <w:lvlJc w:val="right"/>
      <w:pPr>
        <w:ind w:left="5766" w:hanging="180"/>
      </w:pPr>
    </w:lvl>
  </w:abstractNum>
  <w:abstractNum w:abstractNumId="19">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8662A7"/>
    <w:multiLevelType w:val="hybridMultilevel"/>
    <w:tmpl w:val="A66CE82E"/>
    <w:lvl w:ilvl="0" w:tplc="AF9A2CD0">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1A07BBA"/>
    <w:multiLevelType w:val="hybridMultilevel"/>
    <w:tmpl w:val="755A8FB0"/>
    <w:lvl w:ilvl="0" w:tplc="338E1F48">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3"/>
  </w:num>
  <w:num w:numId="6">
    <w:abstractNumId w:val="11"/>
  </w:num>
  <w:num w:numId="7">
    <w:abstractNumId w:val="16"/>
  </w:num>
  <w:num w:numId="8">
    <w:abstractNumId w:val="12"/>
  </w:num>
  <w:num w:numId="9">
    <w:abstractNumId w:val="22"/>
  </w:num>
  <w:num w:numId="10">
    <w:abstractNumId w:val="6"/>
  </w:num>
  <w:num w:numId="11">
    <w:abstractNumId w:val="9"/>
  </w:num>
  <w:num w:numId="12">
    <w:abstractNumId w:val="13"/>
  </w:num>
  <w:num w:numId="13">
    <w:abstractNumId w:val="4"/>
  </w:num>
  <w:num w:numId="14">
    <w:abstractNumId w:val="7"/>
  </w:num>
  <w:num w:numId="15">
    <w:abstractNumId w:val="19"/>
  </w:num>
  <w:num w:numId="16">
    <w:abstractNumId w:val="17"/>
  </w:num>
  <w:num w:numId="17">
    <w:abstractNumId w:val="14"/>
  </w:num>
  <w:num w:numId="18">
    <w:abstractNumId w:val="20"/>
  </w:num>
  <w:num w:numId="19">
    <w:abstractNumId w:val="5"/>
  </w:num>
  <w:num w:numId="20">
    <w:abstractNumId w:val="21"/>
  </w:num>
  <w:num w:numId="21">
    <w:abstractNumId w:val="10"/>
  </w:num>
  <w:num w:numId="22">
    <w:abstractNumId w:val="8"/>
  </w:num>
  <w:num w:numId="23">
    <w:abstractNumId w:val="18"/>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MARTIN, MIGUEL">
    <w15:presenceInfo w15:providerId="AD" w15:userId="S-1-5-21-1516911240-1051151395-1136263860-112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0D0"/>
    <w:rsid w:val="00021C86"/>
    <w:rsid w:val="0003395A"/>
    <w:rsid w:val="000408BA"/>
    <w:rsid w:val="00041661"/>
    <w:rsid w:val="000425FD"/>
    <w:rsid w:val="0004328E"/>
    <w:rsid w:val="00045AC7"/>
    <w:rsid w:val="000558EF"/>
    <w:rsid w:val="0006293F"/>
    <w:rsid w:val="000642EA"/>
    <w:rsid w:val="00070308"/>
    <w:rsid w:val="00080D3A"/>
    <w:rsid w:val="000823AA"/>
    <w:rsid w:val="00082743"/>
    <w:rsid w:val="000837C7"/>
    <w:rsid w:val="00083C96"/>
    <w:rsid w:val="000974F3"/>
    <w:rsid w:val="000A172E"/>
    <w:rsid w:val="000A20E4"/>
    <w:rsid w:val="000B65C7"/>
    <w:rsid w:val="000C015D"/>
    <w:rsid w:val="000C34C2"/>
    <w:rsid w:val="000D46A5"/>
    <w:rsid w:val="000D5D39"/>
    <w:rsid w:val="000E011B"/>
    <w:rsid w:val="000E2471"/>
    <w:rsid w:val="000E7941"/>
    <w:rsid w:val="000F3C8B"/>
    <w:rsid w:val="000F43E3"/>
    <w:rsid w:val="00101212"/>
    <w:rsid w:val="00101BFC"/>
    <w:rsid w:val="00101D5F"/>
    <w:rsid w:val="00105754"/>
    <w:rsid w:val="00130EB9"/>
    <w:rsid w:val="0014379C"/>
    <w:rsid w:val="00153ED1"/>
    <w:rsid w:val="00163DB3"/>
    <w:rsid w:val="001711D3"/>
    <w:rsid w:val="00172FF8"/>
    <w:rsid w:val="00185453"/>
    <w:rsid w:val="00185E8E"/>
    <w:rsid w:val="00187455"/>
    <w:rsid w:val="001B1858"/>
    <w:rsid w:val="001B6F3D"/>
    <w:rsid w:val="001D0D1B"/>
    <w:rsid w:val="001D176B"/>
    <w:rsid w:val="001D20B3"/>
    <w:rsid w:val="001E287E"/>
    <w:rsid w:val="001E2B1C"/>
    <w:rsid w:val="001E3BCF"/>
    <w:rsid w:val="00215623"/>
    <w:rsid w:val="00217122"/>
    <w:rsid w:val="00217AE9"/>
    <w:rsid w:val="00222762"/>
    <w:rsid w:val="00225AA9"/>
    <w:rsid w:val="00230574"/>
    <w:rsid w:val="00231CFF"/>
    <w:rsid w:val="00232A1A"/>
    <w:rsid w:val="00241E7B"/>
    <w:rsid w:val="00242B5D"/>
    <w:rsid w:val="002472D9"/>
    <w:rsid w:val="002509A2"/>
    <w:rsid w:val="0025138E"/>
    <w:rsid w:val="002521C9"/>
    <w:rsid w:val="002711E6"/>
    <w:rsid w:val="002904C8"/>
    <w:rsid w:val="002941F8"/>
    <w:rsid w:val="002B0567"/>
    <w:rsid w:val="002B0FA2"/>
    <w:rsid w:val="002D4400"/>
    <w:rsid w:val="002D549A"/>
    <w:rsid w:val="002E014D"/>
    <w:rsid w:val="002E2769"/>
    <w:rsid w:val="002E27A9"/>
    <w:rsid w:val="002E6D93"/>
    <w:rsid w:val="002F4FE5"/>
    <w:rsid w:val="003006F2"/>
    <w:rsid w:val="003014E7"/>
    <w:rsid w:val="00302203"/>
    <w:rsid w:val="003032C3"/>
    <w:rsid w:val="00303E94"/>
    <w:rsid w:val="00304151"/>
    <w:rsid w:val="003110E8"/>
    <w:rsid w:val="0031596E"/>
    <w:rsid w:val="00316F04"/>
    <w:rsid w:val="00320A89"/>
    <w:rsid w:val="00324C6F"/>
    <w:rsid w:val="003265EF"/>
    <w:rsid w:val="00332E8F"/>
    <w:rsid w:val="00336209"/>
    <w:rsid w:val="00336ED6"/>
    <w:rsid w:val="00360300"/>
    <w:rsid w:val="00380928"/>
    <w:rsid w:val="00386B78"/>
    <w:rsid w:val="003A1EBF"/>
    <w:rsid w:val="003A3D7D"/>
    <w:rsid w:val="003A4B4A"/>
    <w:rsid w:val="003B261A"/>
    <w:rsid w:val="003C0213"/>
    <w:rsid w:val="003C0267"/>
    <w:rsid w:val="003C3840"/>
    <w:rsid w:val="003D56E3"/>
    <w:rsid w:val="003E345D"/>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B5A22"/>
    <w:rsid w:val="004E1F21"/>
    <w:rsid w:val="004F0578"/>
    <w:rsid w:val="004F0934"/>
    <w:rsid w:val="004F61D5"/>
    <w:rsid w:val="0050171A"/>
    <w:rsid w:val="00506856"/>
    <w:rsid w:val="00511FA3"/>
    <w:rsid w:val="005129A4"/>
    <w:rsid w:val="00514492"/>
    <w:rsid w:val="005144D6"/>
    <w:rsid w:val="0052302E"/>
    <w:rsid w:val="005246BE"/>
    <w:rsid w:val="005411C7"/>
    <w:rsid w:val="00555709"/>
    <w:rsid w:val="0056041C"/>
    <w:rsid w:val="00561BA8"/>
    <w:rsid w:val="00563FFF"/>
    <w:rsid w:val="005640DD"/>
    <w:rsid w:val="005677B8"/>
    <w:rsid w:val="00567F13"/>
    <w:rsid w:val="005732A1"/>
    <w:rsid w:val="00573C83"/>
    <w:rsid w:val="00577861"/>
    <w:rsid w:val="00577BCC"/>
    <w:rsid w:val="005810CA"/>
    <w:rsid w:val="00594A5F"/>
    <w:rsid w:val="005960E2"/>
    <w:rsid w:val="00596453"/>
    <w:rsid w:val="005968BB"/>
    <w:rsid w:val="005A5101"/>
    <w:rsid w:val="005A7F37"/>
    <w:rsid w:val="005B4CAC"/>
    <w:rsid w:val="005B602E"/>
    <w:rsid w:val="005C4C5F"/>
    <w:rsid w:val="005D06FE"/>
    <w:rsid w:val="005D76C4"/>
    <w:rsid w:val="005E1210"/>
    <w:rsid w:val="005E3784"/>
    <w:rsid w:val="005E46E4"/>
    <w:rsid w:val="005F05DB"/>
    <w:rsid w:val="005F2E6B"/>
    <w:rsid w:val="005F6960"/>
    <w:rsid w:val="00601095"/>
    <w:rsid w:val="006043A9"/>
    <w:rsid w:val="00610B1B"/>
    <w:rsid w:val="00610F9A"/>
    <w:rsid w:val="006252BA"/>
    <w:rsid w:val="00631A43"/>
    <w:rsid w:val="0063312E"/>
    <w:rsid w:val="00633B0A"/>
    <w:rsid w:val="00653E51"/>
    <w:rsid w:val="006643DC"/>
    <w:rsid w:val="00676909"/>
    <w:rsid w:val="00690B60"/>
    <w:rsid w:val="00691ECC"/>
    <w:rsid w:val="00694158"/>
    <w:rsid w:val="006A02BC"/>
    <w:rsid w:val="006A2E9E"/>
    <w:rsid w:val="006A34A1"/>
    <w:rsid w:val="006A7B96"/>
    <w:rsid w:val="006B20DC"/>
    <w:rsid w:val="006B3EBF"/>
    <w:rsid w:val="006C66AD"/>
    <w:rsid w:val="006D4A37"/>
    <w:rsid w:val="006D6E29"/>
    <w:rsid w:val="006E5D3E"/>
    <w:rsid w:val="00703205"/>
    <w:rsid w:val="00706604"/>
    <w:rsid w:val="007118C4"/>
    <w:rsid w:val="00715C95"/>
    <w:rsid w:val="00723DE0"/>
    <w:rsid w:val="00732595"/>
    <w:rsid w:val="00737995"/>
    <w:rsid w:val="0074349F"/>
    <w:rsid w:val="0075466C"/>
    <w:rsid w:val="007615A2"/>
    <w:rsid w:val="00774921"/>
    <w:rsid w:val="00782A7B"/>
    <w:rsid w:val="00783891"/>
    <w:rsid w:val="007949EA"/>
    <w:rsid w:val="007A053C"/>
    <w:rsid w:val="007A0F24"/>
    <w:rsid w:val="007A4CCC"/>
    <w:rsid w:val="007A6E0D"/>
    <w:rsid w:val="007B3927"/>
    <w:rsid w:val="007C7AB4"/>
    <w:rsid w:val="007C7CD2"/>
    <w:rsid w:val="007D5223"/>
    <w:rsid w:val="007D69B5"/>
    <w:rsid w:val="007D6A9F"/>
    <w:rsid w:val="007E64D9"/>
    <w:rsid w:val="007E7D6D"/>
    <w:rsid w:val="007F3CFA"/>
    <w:rsid w:val="007F6A8C"/>
    <w:rsid w:val="007F70C8"/>
    <w:rsid w:val="008018F0"/>
    <w:rsid w:val="008050F5"/>
    <w:rsid w:val="0081068B"/>
    <w:rsid w:val="00812324"/>
    <w:rsid w:val="00814D4C"/>
    <w:rsid w:val="00820146"/>
    <w:rsid w:val="0082337F"/>
    <w:rsid w:val="008265E8"/>
    <w:rsid w:val="008270CD"/>
    <w:rsid w:val="008270DF"/>
    <w:rsid w:val="0084123C"/>
    <w:rsid w:val="008438AF"/>
    <w:rsid w:val="00843FE8"/>
    <w:rsid w:val="00854FA6"/>
    <w:rsid w:val="0085530C"/>
    <w:rsid w:val="008575B3"/>
    <w:rsid w:val="00861DA2"/>
    <w:rsid w:val="0086406A"/>
    <w:rsid w:val="008656A6"/>
    <w:rsid w:val="00865C2F"/>
    <w:rsid w:val="0086676E"/>
    <w:rsid w:val="00875210"/>
    <w:rsid w:val="00885673"/>
    <w:rsid w:val="008869D6"/>
    <w:rsid w:val="008A7F65"/>
    <w:rsid w:val="008C0DBB"/>
    <w:rsid w:val="008F5C90"/>
    <w:rsid w:val="00900191"/>
    <w:rsid w:val="00906C6A"/>
    <w:rsid w:val="00914273"/>
    <w:rsid w:val="00916A80"/>
    <w:rsid w:val="009211A6"/>
    <w:rsid w:val="009279BF"/>
    <w:rsid w:val="009305C1"/>
    <w:rsid w:val="00931358"/>
    <w:rsid w:val="00937D26"/>
    <w:rsid w:val="00951C86"/>
    <w:rsid w:val="00952EEF"/>
    <w:rsid w:val="00956D7A"/>
    <w:rsid w:val="00965199"/>
    <w:rsid w:val="00966046"/>
    <w:rsid w:val="009770EE"/>
    <w:rsid w:val="00987A5A"/>
    <w:rsid w:val="00991874"/>
    <w:rsid w:val="00992EE0"/>
    <w:rsid w:val="009C1445"/>
    <w:rsid w:val="009D35DB"/>
    <w:rsid w:val="00A10221"/>
    <w:rsid w:val="00A21B8D"/>
    <w:rsid w:val="00A25B84"/>
    <w:rsid w:val="00A32316"/>
    <w:rsid w:val="00A43AC0"/>
    <w:rsid w:val="00A46877"/>
    <w:rsid w:val="00A47C6F"/>
    <w:rsid w:val="00A5492F"/>
    <w:rsid w:val="00A60DC3"/>
    <w:rsid w:val="00A60E56"/>
    <w:rsid w:val="00A67A78"/>
    <w:rsid w:val="00A74985"/>
    <w:rsid w:val="00A91F56"/>
    <w:rsid w:val="00A97E03"/>
    <w:rsid w:val="00AA5E76"/>
    <w:rsid w:val="00AB7069"/>
    <w:rsid w:val="00AD63BE"/>
    <w:rsid w:val="00AD7CD5"/>
    <w:rsid w:val="00AE0A90"/>
    <w:rsid w:val="00AE4D14"/>
    <w:rsid w:val="00AF09E1"/>
    <w:rsid w:val="00AF2EBF"/>
    <w:rsid w:val="00B01132"/>
    <w:rsid w:val="00B06CA8"/>
    <w:rsid w:val="00B21761"/>
    <w:rsid w:val="00B21FA3"/>
    <w:rsid w:val="00B307A7"/>
    <w:rsid w:val="00B30D86"/>
    <w:rsid w:val="00B42150"/>
    <w:rsid w:val="00B44DEE"/>
    <w:rsid w:val="00B45490"/>
    <w:rsid w:val="00B5520C"/>
    <w:rsid w:val="00B702B2"/>
    <w:rsid w:val="00B70B84"/>
    <w:rsid w:val="00B8336E"/>
    <w:rsid w:val="00B865DB"/>
    <w:rsid w:val="00B901D8"/>
    <w:rsid w:val="00B921E0"/>
    <w:rsid w:val="00BA1600"/>
    <w:rsid w:val="00BA3CE9"/>
    <w:rsid w:val="00BA611B"/>
    <w:rsid w:val="00BB7F97"/>
    <w:rsid w:val="00BC2A31"/>
    <w:rsid w:val="00BC3FD9"/>
    <w:rsid w:val="00BC4D68"/>
    <w:rsid w:val="00BC6F92"/>
    <w:rsid w:val="00BD6786"/>
    <w:rsid w:val="00BF1046"/>
    <w:rsid w:val="00C06496"/>
    <w:rsid w:val="00C122AE"/>
    <w:rsid w:val="00C17665"/>
    <w:rsid w:val="00C32DF8"/>
    <w:rsid w:val="00C33260"/>
    <w:rsid w:val="00C40729"/>
    <w:rsid w:val="00C41DDB"/>
    <w:rsid w:val="00C46C5A"/>
    <w:rsid w:val="00C52ABE"/>
    <w:rsid w:val="00C57050"/>
    <w:rsid w:val="00C57226"/>
    <w:rsid w:val="00C656B1"/>
    <w:rsid w:val="00C73712"/>
    <w:rsid w:val="00C91042"/>
    <w:rsid w:val="00CB2E7C"/>
    <w:rsid w:val="00CB683A"/>
    <w:rsid w:val="00CB7C2C"/>
    <w:rsid w:val="00CC062F"/>
    <w:rsid w:val="00CC1768"/>
    <w:rsid w:val="00CC2944"/>
    <w:rsid w:val="00CC68E1"/>
    <w:rsid w:val="00CD0745"/>
    <w:rsid w:val="00CD363B"/>
    <w:rsid w:val="00CD3C90"/>
    <w:rsid w:val="00CD59B1"/>
    <w:rsid w:val="00CF098A"/>
    <w:rsid w:val="00CF09F7"/>
    <w:rsid w:val="00CF3041"/>
    <w:rsid w:val="00D074DC"/>
    <w:rsid w:val="00D123C1"/>
    <w:rsid w:val="00D234FD"/>
    <w:rsid w:val="00D2600B"/>
    <w:rsid w:val="00D519E7"/>
    <w:rsid w:val="00D51B61"/>
    <w:rsid w:val="00D56571"/>
    <w:rsid w:val="00D57B0E"/>
    <w:rsid w:val="00D67DE0"/>
    <w:rsid w:val="00D74F66"/>
    <w:rsid w:val="00D82FBD"/>
    <w:rsid w:val="00D9338F"/>
    <w:rsid w:val="00D9582C"/>
    <w:rsid w:val="00DA043A"/>
    <w:rsid w:val="00DA116C"/>
    <w:rsid w:val="00DA22C9"/>
    <w:rsid w:val="00DB419A"/>
    <w:rsid w:val="00DC0D99"/>
    <w:rsid w:val="00DC195F"/>
    <w:rsid w:val="00DC68D5"/>
    <w:rsid w:val="00DD37B4"/>
    <w:rsid w:val="00DD422D"/>
    <w:rsid w:val="00DF6458"/>
    <w:rsid w:val="00E118C8"/>
    <w:rsid w:val="00E11D29"/>
    <w:rsid w:val="00E1588B"/>
    <w:rsid w:val="00E256FC"/>
    <w:rsid w:val="00E3221E"/>
    <w:rsid w:val="00E37E77"/>
    <w:rsid w:val="00E47161"/>
    <w:rsid w:val="00E47F76"/>
    <w:rsid w:val="00E5111B"/>
    <w:rsid w:val="00E63800"/>
    <w:rsid w:val="00E67D1B"/>
    <w:rsid w:val="00E7079A"/>
    <w:rsid w:val="00E72F8C"/>
    <w:rsid w:val="00E7537D"/>
    <w:rsid w:val="00E845AB"/>
    <w:rsid w:val="00E8579D"/>
    <w:rsid w:val="00E928F1"/>
    <w:rsid w:val="00EA0A58"/>
    <w:rsid w:val="00EA1B96"/>
    <w:rsid w:val="00EA246B"/>
    <w:rsid w:val="00EA3454"/>
    <w:rsid w:val="00EB2786"/>
    <w:rsid w:val="00EB3A4C"/>
    <w:rsid w:val="00EB589C"/>
    <w:rsid w:val="00EB6791"/>
    <w:rsid w:val="00EC35A4"/>
    <w:rsid w:val="00EC4454"/>
    <w:rsid w:val="00ED1FC8"/>
    <w:rsid w:val="00ED43BB"/>
    <w:rsid w:val="00EF00C7"/>
    <w:rsid w:val="00EF1E93"/>
    <w:rsid w:val="00EF3F75"/>
    <w:rsid w:val="00EF6661"/>
    <w:rsid w:val="00F25441"/>
    <w:rsid w:val="00F25A55"/>
    <w:rsid w:val="00F260BE"/>
    <w:rsid w:val="00F33643"/>
    <w:rsid w:val="00F34C66"/>
    <w:rsid w:val="00F3743B"/>
    <w:rsid w:val="00F41809"/>
    <w:rsid w:val="00F521A4"/>
    <w:rsid w:val="00F52C18"/>
    <w:rsid w:val="00F56866"/>
    <w:rsid w:val="00F62A6F"/>
    <w:rsid w:val="00F6410E"/>
    <w:rsid w:val="00F74EB6"/>
    <w:rsid w:val="00F83415"/>
    <w:rsid w:val="00F83D35"/>
    <w:rsid w:val="00F8432C"/>
    <w:rsid w:val="00F91D83"/>
    <w:rsid w:val="00F91F93"/>
    <w:rsid w:val="00F93A64"/>
    <w:rsid w:val="00F94A2A"/>
    <w:rsid w:val="00FA112C"/>
    <w:rsid w:val="00FA5420"/>
    <w:rsid w:val="00FB56E2"/>
    <w:rsid w:val="00FB67B7"/>
    <w:rsid w:val="00FC5011"/>
    <w:rsid w:val="00FD0B96"/>
    <w:rsid w:val="00FD27CB"/>
    <w:rsid w:val="00FD54A5"/>
    <w:rsid w:val="00FD58BE"/>
    <w:rsid w:val="00FE0C0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B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AB7069"/>
    <w:pPr>
      <w:spacing w:before="0"/>
      <w:ind w:left="720"/>
      <w:jc w:val="both"/>
    </w:pPr>
    <w:rPr>
      <w:rFonts w:eastAsia="Times New Roman"/>
      <w:sz w:val="22"/>
      <w:szCs w:val="22"/>
      <w:lang w:val="fr-FR" w:eastAsia="fr-FR"/>
    </w:rPr>
  </w:style>
  <w:style w:type="paragraph" w:styleId="Revision">
    <w:name w:val="Revision"/>
    <w:hidden/>
    <w:uiPriority w:val="99"/>
    <w:semiHidden/>
    <w:rsid w:val="00AB7069"/>
    <w:rPr>
      <w:rFonts w:ascii="Times New Roman" w:hAnsi="Times New Roman"/>
      <w:sz w:val="24"/>
      <w:lang w:val="en-US" w:eastAsia="en-US"/>
    </w:rPr>
  </w:style>
  <w:style w:type="paragraph" w:styleId="Title">
    <w:name w:val="Title"/>
    <w:basedOn w:val="Normal"/>
    <w:next w:val="Normal"/>
    <w:link w:val="TitleChar"/>
    <w:qFormat/>
    <w:rsid w:val="00BC3F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BC3FD9"/>
    <w:rPr>
      <w:rFonts w:ascii="Cambria" w:eastAsia="Times New Roman" w:hAnsi="Cambria" w:cs="Times New Roman"/>
      <w:b/>
      <w:bCs/>
      <w:kern w:val="28"/>
      <w:sz w:val="32"/>
      <w:szCs w:val="32"/>
      <w:lang w:val="en-US" w:eastAsia="en-US"/>
    </w:rPr>
  </w:style>
  <w:style w:type="character" w:styleId="Emphasis">
    <w:name w:val="Emphasis"/>
    <w:qFormat/>
    <w:rsid w:val="00BC3FD9"/>
    <w:rPr>
      <w:i/>
      <w:iCs/>
    </w:rPr>
  </w:style>
  <w:style w:type="character" w:styleId="Strong">
    <w:name w:val="Strong"/>
    <w:qFormat/>
    <w:rsid w:val="00BC3FD9"/>
    <w:rPr>
      <w:b/>
      <w:bCs/>
    </w:rPr>
  </w:style>
  <w:style w:type="paragraph" w:styleId="FootnoteText">
    <w:name w:val="footnote text"/>
    <w:basedOn w:val="Normal"/>
    <w:link w:val="FootnoteTextChar"/>
    <w:semiHidden/>
    <w:unhideWhenUsed/>
    <w:rsid w:val="003265EF"/>
    <w:pPr>
      <w:spacing w:before="0"/>
    </w:pPr>
    <w:rPr>
      <w:sz w:val="20"/>
    </w:rPr>
  </w:style>
  <w:style w:type="character" w:customStyle="1" w:styleId="FootnoteTextChar">
    <w:name w:val="Footnote Text Char"/>
    <w:basedOn w:val="DefaultParagraphFont"/>
    <w:link w:val="FootnoteText"/>
    <w:semiHidden/>
    <w:rsid w:val="003265EF"/>
    <w:rPr>
      <w:rFonts w:ascii="Times New Roman" w:hAnsi="Times New Roman"/>
      <w:lang w:val="en-US" w:eastAsia="en-US"/>
    </w:rPr>
  </w:style>
  <w:style w:type="character" w:styleId="FootnoteReference">
    <w:name w:val="footnote reference"/>
    <w:basedOn w:val="DefaultParagraphFont"/>
    <w:semiHidden/>
    <w:unhideWhenUsed/>
    <w:rsid w:val="003265EF"/>
    <w:rPr>
      <w:vertAlign w:val="superscript"/>
    </w:rPr>
  </w:style>
  <w:style w:type="paragraph" w:customStyle="1" w:styleId="CharCharCharChar">
    <w:name w:val="Char Char Char Char"/>
    <w:basedOn w:val="Normal"/>
    <w:semiHidden/>
    <w:rsid w:val="005732A1"/>
    <w:pPr>
      <w:spacing w:before="0" w:after="160" w:line="240" w:lineRule="exact"/>
    </w:pPr>
    <w:rPr>
      <w:rFonts w:eastAsia="SimSu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AB7069"/>
    <w:pPr>
      <w:spacing w:before="0"/>
      <w:ind w:left="720"/>
      <w:jc w:val="both"/>
    </w:pPr>
    <w:rPr>
      <w:rFonts w:eastAsia="Times New Roman"/>
      <w:sz w:val="22"/>
      <w:szCs w:val="22"/>
      <w:lang w:val="fr-FR" w:eastAsia="fr-FR"/>
    </w:rPr>
  </w:style>
  <w:style w:type="paragraph" w:styleId="Revision">
    <w:name w:val="Revision"/>
    <w:hidden/>
    <w:uiPriority w:val="99"/>
    <w:semiHidden/>
    <w:rsid w:val="00AB7069"/>
    <w:rPr>
      <w:rFonts w:ascii="Times New Roman" w:hAnsi="Times New Roman"/>
      <w:sz w:val="24"/>
      <w:lang w:val="en-US" w:eastAsia="en-US"/>
    </w:rPr>
  </w:style>
  <w:style w:type="paragraph" w:styleId="Title">
    <w:name w:val="Title"/>
    <w:basedOn w:val="Normal"/>
    <w:next w:val="Normal"/>
    <w:link w:val="TitleChar"/>
    <w:qFormat/>
    <w:rsid w:val="00BC3FD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BC3FD9"/>
    <w:rPr>
      <w:rFonts w:ascii="Cambria" w:eastAsia="Times New Roman" w:hAnsi="Cambria" w:cs="Times New Roman"/>
      <w:b/>
      <w:bCs/>
      <w:kern w:val="28"/>
      <w:sz w:val="32"/>
      <w:szCs w:val="32"/>
      <w:lang w:val="en-US" w:eastAsia="en-US"/>
    </w:rPr>
  </w:style>
  <w:style w:type="character" w:styleId="Emphasis">
    <w:name w:val="Emphasis"/>
    <w:qFormat/>
    <w:rsid w:val="00BC3FD9"/>
    <w:rPr>
      <w:i/>
      <w:iCs/>
    </w:rPr>
  </w:style>
  <w:style w:type="character" w:styleId="Strong">
    <w:name w:val="Strong"/>
    <w:qFormat/>
    <w:rsid w:val="00BC3FD9"/>
    <w:rPr>
      <w:b/>
      <w:bCs/>
    </w:rPr>
  </w:style>
  <w:style w:type="paragraph" w:styleId="FootnoteText">
    <w:name w:val="footnote text"/>
    <w:basedOn w:val="Normal"/>
    <w:link w:val="FootnoteTextChar"/>
    <w:semiHidden/>
    <w:unhideWhenUsed/>
    <w:rsid w:val="003265EF"/>
    <w:pPr>
      <w:spacing w:before="0"/>
    </w:pPr>
    <w:rPr>
      <w:sz w:val="20"/>
    </w:rPr>
  </w:style>
  <w:style w:type="character" w:customStyle="1" w:styleId="FootnoteTextChar">
    <w:name w:val="Footnote Text Char"/>
    <w:basedOn w:val="DefaultParagraphFont"/>
    <w:link w:val="FootnoteText"/>
    <w:semiHidden/>
    <w:rsid w:val="003265EF"/>
    <w:rPr>
      <w:rFonts w:ascii="Times New Roman" w:hAnsi="Times New Roman"/>
      <w:lang w:val="en-US" w:eastAsia="en-US"/>
    </w:rPr>
  </w:style>
  <w:style w:type="character" w:styleId="FootnoteReference">
    <w:name w:val="footnote reference"/>
    <w:basedOn w:val="DefaultParagraphFont"/>
    <w:semiHidden/>
    <w:unhideWhenUsed/>
    <w:rsid w:val="003265EF"/>
    <w:rPr>
      <w:vertAlign w:val="superscript"/>
    </w:rPr>
  </w:style>
  <w:style w:type="paragraph" w:customStyle="1" w:styleId="CharCharCharChar">
    <w:name w:val="Char Char Char Char"/>
    <w:basedOn w:val="Normal"/>
    <w:semiHidden/>
    <w:rsid w:val="005732A1"/>
    <w:pPr>
      <w:spacing w:before="0" w:after="160" w:line="240" w:lineRule="exact"/>
    </w:pPr>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62EEB-96FF-44B0-8978-9EB0F41B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5742</Characters>
  <Application>Microsoft Office Word</Application>
  <DocSecurity>0</DocSecurity>
  <Lines>47</Lines>
  <Paragraphs>13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ISO 20022 RA</cp:lastModifiedBy>
  <cp:revision>2</cp:revision>
  <cp:lastPrinted>2015-05-05T15:14:00Z</cp:lastPrinted>
  <dcterms:created xsi:type="dcterms:W3CDTF">2015-10-21T16:22:00Z</dcterms:created>
  <dcterms:modified xsi:type="dcterms:W3CDTF">2015-10-21T16:22:00Z</dcterms:modified>
</cp:coreProperties>
</file>