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3EF11" w14:textId="77777777" w:rsidR="009D5D42" w:rsidRDefault="009D5D42" w:rsidP="005A6353">
      <w:pPr>
        <w:pStyle w:val="ProductFamily"/>
      </w:pPr>
    </w:p>
    <w:p w14:paraId="7DB74633" w14:textId="77777777" w:rsidR="00FC66CD" w:rsidRDefault="001D1C3E" w:rsidP="00440B5A">
      <w:pPr>
        <w:pStyle w:val="ISO20022Heading"/>
      </w:pPr>
      <w:r>
        <w:t>ISO 20022</w:t>
      </w:r>
    </w:p>
    <w:p w14:paraId="7B0D095C" w14:textId="1D649B5B" w:rsidR="00FC66CD" w:rsidRDefault="000D6E4E" w:rsidP="005A6353">
      <w:pPr>
        <w:pStyle w:val="ProductName"/>
      </w:pPr>
      <w:r w:rsidRPr="000D6E4E">
        <w:rPr>
          <w:lang w:val="en-US"/>
        </w:rPr>
        <w:t>Central CounterParty (CCP) Securities Clearing</w:t>
      </w:r>
      <w:r>
        <w:t xml:space="preserve"> </w:t>
      </w:r>
      <w:r w:rsidR="00F13799">
        <w:t>- Maintenance 20</w:t>
      </w:r>
      <w:r w:rsidR="0020498B">
        <w:t>2</w:t>
      </w:r>
      <w:r w:rsidR="004A20C5">
        <w:t>4</w:t>
      </w:r>
      <w:r w:rsidR="00F13799">
        <w:t xml:space="preserve"> - 20</w:t>
      </w:r>
      <w:r w:rsidR="0020498B">
        <w:t>2</w:t>
      </w:r>
      <w:r w:rsidR="004A20C5">
        <w:t>5</w:t>
      </w:r>
    </w:p>
    <w:p w14:paraId="3E2D11EC" w14:textId="77777777" w:rsidR="00FC66CD" w:rsidRDefault="00FC66CD" w:rsidP="005A6353">
      <w:pPr>
        <w:pStyle w:val="Titlepagetext"/>
      </w:pPr>
    </w:p>
    <w:p w14:paraId="62155C2E" w14:textId="77777777" w:rsidR="00FC66CD" w:rsidRPr="00657A1D" w:rsidRDefault="00FC66CD" w:rsidP="005A6353">
      <w:pPr>
        <w:pStyle w:val="Productvariant"/>
      </w:pPr>
    </w:p>
    <w:p w14:paraId="687E3B8E" w14:textId="31E3F2A0" w:rsidR="001D1C3E" w:rsidRDefault="000877E0" w:rsidP="001D1C3E">
      <w:pPr>
        <w:pStyle w:val="DocumentTitle"/>
      </w:pPr>
      <w:r>
        <w:t>Message Definition Report Part 1</w:t>
      </w:r>
    </w:p>
    <w:p w14:paraId="4DBFB789" w14:textId="6C971FFD" w:rsidR="00383403" w:rsidRPr="00657A1D" w:rsidRDefault="00AB512C" w:rsidP="00383403">
      <w:pPr>
        <w:pStyle w:val="DocumentSubtitle"/>
      </w:pPr>
      <w:r w:rsidRPr="00AB512C">
        <w:t xml:space="preserve">Approved by the Payments SEG on </w:t>
      </w:r>
      <w:r w:rsidR="00440B5A">
        <w:t>13</w:t>
      </w:r>
      <w:r w:rsidRPr="00AB512C">
        <w:t xml:space="preserve"> February</w:t>
      </w:r>
      <w:r w:rsidR="00440B5A">
        <w:t xml:space="preserve"> 2025</w:t>
      </w:r>
      <w:r w:rsidR="00713A64">
        <w:t xml:space="preserve"> </w:t>
      </w:r>
    </w:p>
    <w:p w14:paraId="4EF0F3C3" w14:textId="0D830E6E" w:rsidR="00FC66CD" w:rsidRPr="00646E29" w:rsidRDefault="00D011D8" w:rsidP="005A6353">
      <w:pPr>
        <w:pStyle w:val="Titlepagetext"/>
      </w:pPr>
      <w:r w:rsidRPr="00D011D8">
        <w:t>This document provides information about the use of the</w:t>
      </w:r>
      <w:r w:rsidR="004A20C5">
        <w:t xml:space="preserve"> </w:t>
      </w:r>
      <w:r w:rsidRPr="00D011D8">
        <w:t>messages for Cash Management and includes, for example, business scenarios and messages flows</w:t>
      </w:r>
      <w:r w:rsidR="002024C8">
        <w:t>.</w:t>
      </w:r>
      <w:r w:rsidRPr="00D011D8">
        <w:t xml:space="preserve"> </w:t>
      </w:r>
    </w:p>
    <w:p w14:paraId="0CC45663" w14:textId="25CD4B56" w:rsidR="00FC66CD" w:rsidRDefault="00AB512C" w:rsidP="005A6353">
      <w:pPr>
        <w:pStyle w:val="Releasedate"/>
      </w:pPr>
      <w:r>
        <w:t>February</w:t>
      </w:r>
      <w:r w:rsidR="006236C2" w:rsidRPr="006236C2">
        <w:t xml:space="preserve"> 202</w:t>
      </w:r>
      <w:r>
        <w:t>5</w:t>
      </w:r>
    </w:p>
    <w:p w14:paraId="6332BF92" w14:textId="77777777" w:rsidR="00C45139" w:rsidRDefault="00C45139" w:rsidP="005A6353">
      <w:pPr>
        <w:pStyle w:val="Releasedate"/>
      </w:pPr>
    </w:p>
    <w:p w14:paraId="2CEC394E" w14:textId="77777777" w:rsidR="00FC66CD" w:rsidRDefault="00FC66CD" w:rsidP="00A8050C">
      <w:pPr>
        <w:pStyle w:val="IntroHeading"/>
      </w:pPr>
      <w:bookmarkStart w:id="0" w:name="_Toc314668488"/>
      <w:bookmarkStart w:id="1" w:name="_Toc315438490"/>
      <w:bookmarkStart w:id="2" w:name="_Toc191756078"/>
      <w:r>
        <w:lastRenderedPageBreak/>
        <w:t>Table of Contents</w:t>
      </w:r>
      <w:bookmarkEnd w:id="0"/>
      <w:bookmarkEnd w:id="1"/>
      <w:bookmarkEnd w:id="2"/>
    </w:p>
    <w:p w14:paraId="2F3B50A9" w14:textId="72229B3A" w:rsidR="00EF137B" w:rsidRDefault="00F45CD3">
      <w:pPr>
        <w:pStyle w:val="TOC1"/>
        <w:rPr>
          <w:rFonts w:asciiTheme="minorHAnsi" w:eastAsiaTheme="minorEastAsia" w:hAnsiTheme="minorHAnsi" w:cstheme="minorBidi"/>
          <w:b w:val="0"/>
          <w:kern w:val="2"/>
          <w:sz w:val="24"/>
          <w:szCs w:val="24"/>
          <w:lang w:val="en-US"/>
          <w14:ligatures w14:val="standardContextual"/>
        </w:rPr>
      </w:pPr>
      <w:r>
        <w:rPr>
          <w:b w:val="0"/>
        </w:rPr>
        <w:fldChar w:fldCharType="begin"/>
      </w:r>
      <w:r>
        <w:rPr>
          <w:b w:val="0"/>
        </w:rPr>
        <w:instrText xml:space="preserve"> TOC \o "1-2" \h \z \u </w:instrText>
      </w:r>
      <w:r>
        <w:rPr>
          <w:b w:val="0"/>
        </w:rPr>
        <w:fldChar w:fldCharType="separate"/>
      </w:r>
      <w:hyperlink w:anchor="_Toc191756078" w:history="1">
        <w:r w:rsidR="00EF137B" w:rsidRPr="004D0271">
          <w:rPr>
            <w:rStyle w:val="Hyperlink"/>
          </w:rPr>
          <w:t>Table of Contents</w:t>
        </w:r>
        <w:r w:rsidR="00EF137B">
          <w:rPr>
            <w:webHidden/>
          </w:rPr>
          <w:tab/>
        </w:r>
        <w:r w:rsidR="00EF137B">
          <w:rPr>
            <w:webHidden/>
          </w:rPr>
          <w:fldChar w:fldCharType="begin"/>
        </w:r>
        <w:r w:rsidR="00EF137B">
          <w:rPr>
            <w:webHidden/>
          </w:rPr>
          <w:instrText xml:space="preserve"> PAGEREF _Toc191756078 \h </w:instrText>
        </w:r>
        <w:r w:rsidR="00EF137B">
          <w:rPr>
            <w:webHidden/>
          </w:rPr>
        </w:r>
        <w:r w:rsidR="00EF137B">
          <w:rPr>
            <w:webHidden/>
          </w:rPr>
          <w:fldChar w:fldCharType="separate"/>
        </w:r>
        <w:r w:rsidR="00EF137B">
          <w:rPr>
            <w:webHidden/>
          </w:rPr>
          <w:t>2</w:t>
        </w:r>
        <w:r w:rsidR="00EF137B">
          <w:rPr>
            <w:webHidden/>
          </w:rPr>
          <w:fldChar w:fldCharType="end"/>
        </w:r>
      </w:hyperlink>
    </w:p>
    <w:p w14:paraId="11922197" w14:textId="75B9DD70" w:rsidR="00EF137B" w:rsidRDefault="00EF137B">
      <w:pPr>
        <w:pStyle w:val="TOC1"/>
        <w:rPr>
          <w:rFonts w:asciiTheme="minorHAnsi" w:eastAsiaTheme="minorEastAsia" w:hAnsiTheme="minorHAnsi" w:cstheme="minorBidi"/>
          <w:b w:val="0"/>
          <w:kern w:val="2"/>
          <w:sz w:val="24"/>
          <w:szCs w:val="24"/>
          <w:lang w:val="en-US"/>
          <w14:ligatures w14:val="standardContextual"/>
        </w:rPr>
      </w:pPr>
      <w:hyperlink w:anchor="_Toc191756079" w:history="1">
        <w:r w:rsidRPr="004D0271">
          <w:rPr>
            <w:rStyle w:val="Hyperlink"/>
          </w:rPr>
          <w:t>1</w:t>
        </w:r>
        <w:r>
          <w:rPr>
            <w:rFonts w:asciiTheme="minorHAnsi" w:eastAsiaTheme="minorEastAsia" w:hAnsiTheme="minorHAnsi" w:cstheme="minorBidi"/>
            <w:b w:val="0"/>
            <w:kern w:val="2"/>
            <w:sz w:val="24"/>
            <w:szCs w:val="24"/>
            <w:lang w:val="en-US"/>
            <w14:ligatures w14:val="standardContextual"/>
          </w:rPr>
          <w:tab/>
        </w:r>
        <w:r w:rsidRPr="004D0271">
          <w:rPr>
            <w:rStyle w:val="Hyperlink"/>
          </w:rPr>
          <w:t>Introduction</w:t>
        </w:r>
        <w:r>
          <w:rPr>
            <w:webHidden/>
          </w:rPr>
          <w:tab/>
        </w:r>
        <w:r>
          <w:rPr>
            <w:webHidden/>
          </w:rPr>
          <w:fldChar w:fldCharType="begin"/>
        </w:r>
        <w:r>
          <w:rPr>
            <w:webHidden/>
          </w:rPr>
          <w:instrText xml:space="preserve"> PAGEREF _Toc191756079 \h </w:instrText>
        </w:r>
        <w:r>
          <w:rPr>
            <w:webHidden/>
          </w:rPr>
        </w:r>
        <w:r>
          <w:rPr>
            <w:webHidden/>
          </w:rPr>
          <w:fldChar w:fldCharType="separate"/>
        </w:r>
        <w:r>
          <w:rPr>
            <w:webHidden/>
          </w:rPr>
          <w:t>5</w:t>
        </w:r>
        <w:r>
          <w:rPr>
            <w:webHidden/>
          </w:rPr>
          <w:fldChar w:fldCharType="end"/>
        </w:r>
      </w:hyperlink>
    </w:p>
    <w:p w14:paraId="2E1F4831" w14:textId="2FED9E55"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80" w:history="1">
        <w:r w:rsidRPr="004D0271">
          <w:rPr>
            <w:rStyle w:val="Hyperlink"/>
          </w:rPr>
          <w:t>1.1</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Terms and Definitions</w:t>
        </w:r>
        <w:r>
          <w:rPr>
            <w:webHidden/>
          </w:rPr>
          <w:tab/>
        </w:r>
        <w:r>
          <w:rPr>
            <w:webHidden/>
          </w:rPr>
          <w:fldChar w:fldCharType="begin"/>
        </w:r>
        <w:r>
          <w:rPr>
            <w:webHidden/>
          </w:rPr>
          <w:instrText xml:space="preserve"> PAGEREF _Toc191756080 \h </w:instrText>
        </w:r>
        <w:r>
          <w:rPr>
            <w:webHidden/>
          </w:rPr>
        </w:r>
        <w:r>
          <w:rPr>
            <w:webHidden/>
          </w:rPr>
          <w:fldChar w:fldCharType="separate"/>
        </w:r>
        <w:r>
          <w:rPr>
            <w:webHidden/>
          </w:rPr>
          <w:t>5</w:t>
        </w:r>
        <w:r>
          <w:rPr>
            <w:webHidden/>
          </w:rPr>
          <w:fldChar w:fldCharType="end"/>
        </w:r>
      </w:hyperlink>
    </w:p>
    <w:p w14:paraId="01214B55" w14:textId="64284B9F"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81" w:history="1">
        <w:r w:rsidRPr="004D0271">
          <w:rPr>
            <w:rStyle w:val="Hyperlink"/>
          </w:rPr>
          <w:t>1.2</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Abbreviations and Acronyms</w:t>
        </w:r>
        <w:r>
          <w:rPr>
            <w:webHidden/>
          </w:rPr>
          <w:tab/>
        </w:r>
        <w:r>
          <w:rPr>
            <w:webHidden/>
          </w:rPr>
          <w:fldChar w:fldCharType="begin"/>
        </w:r>
        <w:r>
          <w:rPr>
            <w:webHidden/>
          </w:rPr>
          <w:instrText xml:space="preserve"> PAGEREF _Toc191756081 \h </w:instrText>
        </w:r>
        <w:r>
          <w:rPr>
            <w:webHidden/>
          </w:rPr>
        </w:r>
        <w:r>
          <w:rPr>
            <w:webHidden/>
          </w:rPr>
          <w:fldChar w:fldCharType="separate"/>
        </w:r>
        <w:r>
          <w:rPr>
            <w:webHidden/>
          </w:rPr>
          <w:t>5</w:t>
        </w:r>
        <w:r>
          <w:rPr>
            <w:webHidden/>
          </w:rPr>
          <w:fldChar w:fldCharType="end"/>
        </w:r>
      </w:hyperlink>
    </w:p>
    <w:p w14:paraId="7553B2F3" w14:textId="32983264"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82" w:history="1">
        <w:r w:rsidRPr="004D0271">
          <w:rPr>
            <w:rStyle w:val="Hyperlink"/>
          </w:rPr>
          <w:t>1.3</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Document Scope and Objectives</w:t>
        </w:r>
        <w:r>
          <w:rPr>
            <w:webHidden/>
          </w:rPr>
          <w:tab/>
        </w:r>
        <w:r>
          <w:rPr>
            <w:webHidden/>
          </w:rPr>
          <w:fldChar w:fldCharType="begin"/>
        </w:r>
        <w:r>
          <w:rPr>
            <w:webHidden/>
          </w:rPr>
          <w:instrText xml:space="preserve"> PAGEREF _Toc191756082 \h </w:instrText>
        </w:r>
        <w:r>
          <w:rPr>
            <w:webHidden/>
          </w:rPr>
        </w:r>
        <w:r>
          <w:rPr>
            <w:webHidden/>
          </w:rPr>
          <w:fldChar w:fldCharType="separate"/>
        </w:r>
        <w:r>
          <w:rPr>
            <w:webHidden/>
          </w:rPr>
          <w:t>6</w:t>
        </w:r>
        <w:r>
          <w:rPr>
            <w:webHidden/>
          </w:rPr>
          <w:fldChar w:fldCharType="end"/>
        </w:r>
      </w:hyperlink>
    </w:p>
    <w:p w14:paraId="27050187" w14:textId="00BD086F"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83" w:history="1">
        <w:r w:rsidRPr="004D0271">
          <w:rPr>
            <w:rStyle w:val="Hyperlink"/>
          </w:rPr>
          <w:t>1.4</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References</w:t>
        </w:r>
        <w:r>
          <w:rPr>
            <w:webHidden/>
          </w:rPr>
          <w:tab/>
        </w:r>
        <w:r>
          <w:rPr>
            <w:webHidden/>
          </w:rPr>
          <w:fldChar w:fldCharType="begin"/>
        </w:r>
        <w:r>
          <w:rPr>
            <w:webHidden/>
          </w:rPr>
          <w:instrText xml:space="preserve"> PAGEREF _Toc191756083 \h </w:instrText>
        </w:r>
        <w:r>
          <w:rPr>
            <w:webHidden/>
          </w:rPr>
        </w:r>
        <w:r>
          <w:rPr>
            <w:webHidden/>
          </w:rPr>
          <w:fldChar w:fldCharType="separate"/>
        </w:r>
        <w:r>
          <w:rPr>
            <w:webHidden/>
          </w:rPr>
          <w:t>6</w:t>
        </w:r>
        <w:r>
          <w:rPr>
            <w:webHidden/>
          </w:rPr>
          <w:fldChar w:fldCharType="end"/>
        </w:r>
      </w:hyperlink>
    </w:p>
    <w:p w14:paraId="0618509E" w14:textId="6063284C" w:rsidR="00EF137B" w:rsidRDefault="00EF137B">
      <w:pPr>
        <w:pStyle w:val="TOC1"/>
        <w:rPr>
          <w:rFonts w:asciiTheme="minorHAnsi" w:eastAsiaTheme="minorEastAsia" w:hAnsiTheme="minorHAnsi" w:cstheme="minorBidi"/>
          <w:b w:val="0"/>
          <w:kern w:val="2"/>
          <w:sz w:val="24"/>
          <w:szCs w:val="24"/>
          <w:lang w:val="en-US"/>
          <w14:ligatures w14:val="standardContextual"/>
        </w:rPr>
      </w:pPr>
      <w:hyperlink w:anchor="_Toc191756084" w:history="1">
        <w:r w:rsidRPr="004D0271">
          <w:rPr>
            <w:rStyle w:val="Hyperlink"/>
          </w:rPr>
          <w:t>2</w:t>
        </w:r>
        <w:r>
          <w:rPr>
            <w:rFonts w:asciiTheme="minorHAnsi" w:eastAsiaTheme="minorEastAsia" w:hAnsiTheme="minorHAnsi" w:cstheme="minorBidi"/>
            <w:b w:val="0"/>
            <w:kern w:val="2"/>
            <w:sz w:val="24"/>
            <w:szCs w:val="24"/>
            <w:lang w:val="en-US"/>
            <w14:ligatures w14:val="standardContextual"/>
          </w:rPr>
          <w:tab/>
        </w:r>
        <w:r w:rsidRPr="004D0271">
          <w:rPr>
            <w:rStyle w:val="Hyperlink"/>
          </w:rPr>
          <w:t>Scope and Functionality</w:t>
        </w:r>
        <w:r>
          <w:rPr>
            <w:webHidden/>
          </w:rPr>
          <w:tab/>
        </w:r>
        <w:r>
          <w:rPr>
            <w:webHidden/>
          </w:rPr>
          <w:fldChar w:fldCharType="begin"/>
        </w:r>
        <w:r>
          <w:rPr>
            <w:webHidden/>
          </w:rPr>
          <w:instrText xml:space="preserve"> PAGEREF _Toc191756084 \h </w:instrText>
        </w:r>
        <w:r>
          <w:rPr>
            <w:webHidden/>
          </w:rPr>
        </w:r>
        <w:r>
          <w:rPr>
            <w:webHidden/>
          </w:rPr>
          <w:fldChar w:fldCharType="separate"/>
        </w:r>
        <w:r>
          <w:rPr>
            <w:webHidden/>
          </w:rPr>
          <w:t>7</w:t>
        </w:r>
        <w:r>
          <w:rPr>
            <w:webHidden/>
          </w:rPr>
          <w:fldChar w:fldCharType="end"/>
        </w:r>
      </w:hyperlink>
    </w:p>
    <w:p w14:paraId="6DD97631" w14:textId="32A76059"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85" w:history="1">
        <w:r w:rsidRPr="004D0271">
          <w:rPr>
            <w:rStyle w:val="Hyperlink"/>
          </w:rPr>
          <w:t>2.1</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Background</w:t>
        </w:r>
        <w:r>
          <w:rPr>
            <w:webHidden/>
          </w:rPr>
          <w:tab/>
        </w:r>
        <w:r>
          <w:rPr>
            <w:webHidden/>
          </w:rPr>
          <w:fldChar w:fldCharType="begin"/>
        </w:r>
        <w:r>
          <w:rPr>
            <w:webHidden/>
          </w:rPr>
          <w:instrText xml:space="preserve"> PAGEREF _Toc191756085 \h </w:instrText>
        </w:r>
        <w:r>
          <w:rPr>
            <w:webHidden/>
          </w:rPr>
        </w:r>
        <w:r>
          <w:rPr>
            <w:webHidden/>
          </w:rPr>
          <w:fldChar w:fldCharType="separate"/>
        </w:r>
        <w:r>
          <w:rPr>
            <w:webHidden/>
          </w:rPr>
          <w:t>7</w:t>
        </w:r>
        <w:r>
          <w:rPr>
            <w:webHidden/>
          </w:rPr>
          <w:fldChar w:fldCharType="end"/>
        </w:r>
      </w:hyperlink>
    </w:p>
    <w:p w14:paraId="4A9829DD" w14:textId="2BF3883C"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86" w:history="1">
        <w:r w:rsidRPr="004D0271">
          <w:rPr>
            <w:rStyle w:val="Hyperlink"/>
          </w:rPr>
          <w:t>2.2</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Scope</w:t>
        </w:r>
        <w:r>
          <w:rPr>
            <w:webHidden/>
          </w:rPr>
          <w:tab/>
        </w:r>
        <w:r>
          <w:rPr>
            <w:webHidden/>
          </w:rPr>
          <w:fldChar w:fldCharType="begin"/>
        </w:r>
        <w:r>
          <w:rPr>
            <w:webHidden/>
          </w:rPr>
          <w:instrText xml:space="preserve"> PAGEREF _Toc191756086 \h </w:instrText>
        </w:r>
        <w:r>
          <w:rPr>
            <w:webHidden/>
          </w:rPr>
        </w:r>
        <w:r>
          <w:rPr>
            <w:webHidden/>
          </w:rPr>
          <w:fldChar w:fldCharType="separate"/>
        </w:r>
        <w:r>
          <w:rPr>
            <w:webHidden/>
          </w:rPr>
          <w:t>8</w:t>
        </w:r>
        <w:r>
          <w:rPr>
            <w:webHidden/>
          </w:rPr>
          <w:fldChar w:fldCharType="end"/>
        </w:r>
      </w:hyperlink>
    </w:p>
    <w:p w14:paraId="4A8AEB0F" w14:textId="78A7BDDA"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87" w:history="1">
        <w:r w:rsidRPr="004D0271">
          <w:rPr>
            <w:rStyle w:val="Hyperlink"/>
          </w:rPr>
          <w:t>2.3</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Groups of MessageDefinitions and Functionality</w:t>
        </w:r>
        <w:r>
          <w:rPr>
            <w:webHidden/>
          </w:rPr>
          <w:tab/>
        </w:r>
        <w:r>
          <w:rPr>
            <w:webHidden/>
          </w:rPr>
          <w:fldChar w:fldCharType="begin"/>
        </w:r>
        <w:r>
          <w:rPr>
            <w:webHidden/>
          </w:rPr>
          <w:instrText xml:space="preserve"> PAGEREF _Toc191756087 \h </w:instrText>
        </w:r>
        <w:r>
          <w:rPr>
            <w:webHidden/>
          </w:rPr>
        </w:r>
        <w:r>
          <w:rPr>
            <w:webHidden/>
          </w:rPr>
          <w:fldChar w:fldCharType="separate"/>
        </w:r>
        <w:r>
          <w:rPr>
            <w:webHidden/>
          </w:rPr>
          <w:t>8</w:t>
        </w:r>
        <w:r>
          <w:rPr>
            <w:webHidden/>
          </w:rPr>
          <w:fldChar w:fldCharType="end"/>
        </w:r>
      </w:hyperlink>
    </w:p>
    <w:p w14:paraId="4E688E3E" w14:textId="0EC644A6" w:rsidR="00EF137B" w:rsidRDefault="00EF137B">
      <w:pPr>
        <w:pStyle w:val="TOC1"/>
        <w:rPr>
          <w:rFonts w:asciiTheme="minorHAnsi" w:eastAsiaTheme="minorEastAsia" w:hAnsiTheme="minorHAnsi" w:cstheme="minorBidi"/>
          <w:b w:val="0"/>
          <w:kern w:val="2"/>
          <w:sz w:val="24"/>
          <w:szCs w:val="24"/>
          <w:lang w:val="en-US"/>
          <w14:ligatures w14:val="standardContextual"/>
        </w:rPr>
      </w:pPr>
      <w:hyperlink w:anchor="_Toc191756088" w:history="1">
        <w:r w:rsidRPr="004D0271">
          <w:rPr>
            <w:rStyle w:val="Hyperlink"/>
          </w:rPr>
          <w:t>3</w:t>
        </w:r>
        <w:r>
          <w:rPr>
            <w:rFonts w:asciiTheme="minorHAnsi" w:eastAsiaTheme="minorEastAsia" w:hAnsiTheme="minorHAnsi" w:cstheme="minorBidi"/>
            <w:b w:val="0"/>
            <w:kern w:val="2"/>
            <w:sz w:val="24"/>
            <w:szCs w:val="24"/>
            <w:lang w:val="en-US"/>
            <w14:ligatures w14:val="standardContextual"/>
          </w:rPr>
          <w:tab/>
        </w:r>
        <w:r w:rsidRPr="004D0271">
          <w:rPr>
            <w:rStyle w:val="Hyperlink"/>
          </w:rPr>
          <w:t>BusinessRoles and Participants</w:t>
        </w:r>
        <w:r>
          <w:rPr>
            <w:webHidden/>
          </w:rPr>
          <w:tab/>
        </w:r>
        <w:r>
          <w:rPr>
            <w:webHidden/>
          </w:rPr>
          <w:fldChar w:fldCharType="begin"/>
        </w:r>
        <w:r>
          <w:rPr>
            <w:webHidden/>
          </w:rPr>
          <w:instrText xml:space="preserve"> PAGEREF _Toc191756088 \h </w:instrText>
        </w:r>
        <w:r>
          <w:rPr>
            <w:webHidden/>
          </w:rPr>
        </w:r>
        <w:r>
          <w:rPr>
            <w:webHidden/>
          </w:rPr>
          <w:fldChar w:fldCharType="separate"/>
        </w:r>
        <w:r>
          <w:rPr>
            <w:webHidden/>
          </w:rPr>
          <w:t>10</w:t>
        </w:r>
        <w:r>
          <w:rPr>
            <w:webHidden/>
          </w:rPr>
          <w:fldChar w:fldCharType="end"/>
        </w:r>
      </w:hyperlink>
    </w:p>
    <w:p w14:paraId="1C25BAAA" w14:textId="676610EE" w:rsidR="00EF137B" w:rsidRDefault="00EF137B">
      <w:pPr>
        <w:pStyle w:val="TOC1"/>
        <w:rPr>
          <w:rFonts w:asciiTheme="minorHAnsi" w:eastAsiaTheme="minorEastAsia" w:hAnsiTheme="minorHAnsi" w:cstheme="minorBidi"/>
          <w:b w:val="0"/>
          <w:kern w:val="2"/>
          <w:sz w:val="24"/>
          <w:szCs w:val="24"/>
          <w:lang w:val="en-US"/>
          <w14:ligatures w14:val="standardContextual"/>
        </w:rPr>
      </w:pPr>
      <w:hyperlink w:anchor="_Toc191756089" w:history="1">
        <w:r w:rsidRPr="004D0271">
          <w:rPr>
            <w:rStyle w:val="Hyperlink"/>
          </w:rPr>
          <w:t>4</w:t>
        </w:r>
        <w:r>
          <w:rPr>
            <w:rFonts w:asciiTheme="minorHAnsi" w:eastAsiaTheme="minorEastAsia" w:hAnsiTheme="minorHAnsi" w:cstheme="minorBidi"/>
            <w:b w:val="0"/>
            <w:kern w:val="2"/>
            <w:sz w:val="24"/>
            <w:szCs w:val="24"/>
            <w:lang w:val="en-US"/>
            <w14:ligatures w14:val="standardContextual"/>
          </w:rPr>
          <w:tab/>
        </w:r>
        <w:r w:rsidRPr="004D0271">
          <w:rPr>
            <w:rStyle w:val="Hyperlink"/>
          </w:rPr>
          <w:t>BusinessProcess Description</w:t>
        </w:r>
        <w:r>
          <w:rPr>
            <w:webHidden/>
          </w:rPr>
          <w:tab/>
        </w:r>
        <w:r>
          <w:rPr>
            <w:webHidden/>
          </w:rPr>
          <w:fldChar w:fldCharType="begin"/>
        </w:r>
        <w:r>
          <w:rPr>
            <w:webHidden/>
          </w:rPr>
          <w:instrText xml:space="preserve"> PAGEREF _Toc191756089 \h </w:instrText>
        </w:r>
        <w:r>
          <w:rPr>
            <w:webHidden/>
          </w:rPr>
        </w:r>
        <w:r>
          <w:rPr>
            <w:webHidden/>
          </w:rPr>
          <w:fldChar w:fldCharType="separate"/>
        </w:r>
        <w:r>
          <w:rPr>
            <w:webHidden/>
          </w:rPr>
          <w:t>12</w:t>
        </w:r>
        <w:r>
          <w:rPr>
            <w:webHidden/>
          </w:rPr>
          <w:fldChar w:fldCharType="end"/>
        </w:r>
      </w:hyperlink>
    </w:p>
    <w:p w14:paraId="6E76D2F0" w14:textId="12488975"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90" w:history="1">
        <w:r w:rsidRPr="004D0271">
          <w:rPr>
            <w:rStyle w:val="Hyperlink"/>
          </w:rPr>
          <w:t>4.1</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BusinessProcess Diagram</w:t>
        </w:r>
        <w:r>
          <w:rPr>
            <w:webHidden/>
          </w:rPr>
          <w:tab/>
        </w:r>
        <w:r>
          <w:rPr>
            <w:webHidden/>
          </w:rPr>
          <w:fldChar w:fldCharType="begin"/>
        </w:r>
        <w:r>
          <w:rPr>
            <w:webHidden/>
          </w:rPr>
          <w:instrText xml:space="preserve"> PAGEREF _Toc191756090 \h </w:instrText>
        </w:r>
        <w:r>
          <w:rPr>
            <w:webHidden/>
          </w:rPr>
        </w:r>
        <w:r>
          <w:rPr>
            <w:webHidden/>
          </w:rPr>
          <w:fldChar w:fldCharType="separate"/>
        </w:r>
        <w:r>
          <w:rPr>
            <w:webHidden/>
          </w:rPr>
          <w:t>12</w:t>
        </w:r>
        <w:r>
          <w:rPr>
            <w:webHidden/>
          </w:rPr>
          <w:fldChar w:fldCharType="end"/>
        </w:r>
      </w:hyperlink>
    </w:p>
    <w:p w14:paraId="5F873074" w14:textId="3129EB72" w:rsidR="00EF137B" w:rsidRDefault="00EF137B">
      <w:pPr>
        <w:pStyle w:val="TOC1"/>
        <w:rPr>
          <w:rFonts w:asciiTheme="minorHAnsi" w:eastAsiaTheme="minorEastAsia" w:hAnsiTheme="minorHAnsi" w:cstheme="minorBidi"/>
          <w:b w:val="0"/>
          <w:kern w:val="2"/>
          <w:sz w:val="24"/>
          <w:szCs w:val="24"/>
          <w:lang w:val="en-US"/>
          <w14:ligatures w14:val="standardContextual"/>
        </w:rPr>
      </w:pPr>
      <w:hyperlink w:anchor="_Toc191756091" w:history="1">
        <w:r w:rsidRPr="004D0271">
          <w:rPr>
            <w:rStyle w:val="Hyperlink"/>
          </w:rPr>
          <w:t>5</w:t>
        </w:r>
        <w:r>
          <w:rPr>
            <w:rFonts w:asciiTheme="minorHAnsi" w:eastAsiaTheme="minorEastAsia" w:hAnsiTheme="minorHAnsi" w:cstheme="minorBidi"/>
            <w:b w:val="0"/>
            <w:kern w:val="2"/>
            <w:sz w:val="24"/>
            <w:szCs w:val="24"/>
            <w:lang w:val="en-US"/>
            <w14:ligatures w14:val="standardContextual"/>
          </w:rPr>
          <w:tab/>
        </w:r>
        <w:r w:rsidRPr="004D0271">
          <w:rPr>
            <w:rStyle w:val="Hyperlink"/>
          </w:rPr>
          <w:t>Description of BusinessActivities</w:t>
        </w:r>
        <w:r>
          <w:rPr>
            <w:webHidden/>
          </w:rPr>
          <w:tab/>
        </w:r>
        <w:r>
          <w:rPr>
            <w:webHidden/>
          </w:rPr>
          <w:fldChar w:fldCharType="begin"/>
        </w:r>
        <w:r>
          <w:rPr>
            <w:webHidden/>
          </w:rPr>
          <w:instrText xml:space="preserve"> PAGEREF _Toc191756091 \h </w:instrText>
        </w:r>
        <w:r>
          <w:rPr>
            <w:webHidden/>
          </w:rPr>
        </w:r>
        <w:r>
          <w:rPr>
            <w:webHidden/>
          </w:rPr>
          <w:fldChar w:fldCharType="separate"/>
        </w:r>
        <w:r>
          <w:rPr>
            <w:webHidden/>
          </w:rPr>
          <w:t>15</w:t>
        </w:r>
        <w:r>
          <w:rPr>
            <w:webHidden/>
          </w:rPr>
          <w:fldChar w:fldCharType="end"/>
        </w:r>
      </w:hyperlink>
    </w:p>
    <w:p w14:paraId="605AC84D" w14:textId="6B0C1A5B"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92" w:history="1">
        <w:r w:rsidRPr="004D0271">
          <w:rPr>
            <w:rStyle w:val="Hyperlink"/>
          </w:rPr>
          <w:t>5.1</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BusinessProcess - Trade Management</w:t>
        </w:r>
        <w:r>
          <w:rPr>
            <w:webHidden/>
          </w:rPr>
          <w:tab/>
        </w:r>
        <w:r>
          <w:rPr>
            <w:webHidden/>
          </w:rPr>
          <w:fldChar w:fldCharType="begin"/>
        </w:r>
        <w:r>
          <w:rPr>
            <w:webHidden/>
          </w:rPr>
          <w:instrText xml:space="preserve"> PAGEREF _Toc191756092 \h </w:instrText>
        </w:r>
        <w:r>
          <w:rPr>
            <w:webHidden/>
          </w:rPr>
        </w:r>
        <w:r>
          <w:rPr>
            <w:webHidden/>
          </w:rPr>
          <w:fldChar w:fldCharType="separate"/>
        </w:r>
        <w:r>
          <w:rPr>
            <w:webHidden/>
          </w:rPr>
          <w:t>16</w:t>
        </w:r>
        <w:r>
          <w:rPr>
            <w:webHidden/>
          </w:rPr>
          <w:fldChar w:fldCharType="end"/>
        </w:r>
      </w:hyperlink>
    </w:p>
    <w:p w14:paraId="15C31CF9" w14:textId="3CDCDD8F"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93" w:history="1">
        <w:r w:rsidRPr="004D0271">
          <w:rPr>
            <w:rStyle w:val="Hyperlink"/>
          </w:rPr>
          <w:t>5.2</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BusinessProcess - Risk Management – Netting Process</w:t>
        </w:r>
        <w:r>
          <w:rPr>
            <w:webHidden/>
          </w:rPr>
          <w:tab/>
        </w:r>
        <w:r>
          <w:rPr>
            <w:webHidden/>
          </w:rPr>
          <w:fldChar w:fldCharType="begin"/>
        </w:r>
        <w:r>
          <w:rPr>
            <w:webHidden/>
          </w:rPr>
          <w:instrText xml:space="preserve"> PAGEREF _Toc191756093 \h </w:instrText>
        </w:r>
        <w:r>
          <w:rPr>
            <w:webHidden/>
          </w:rPr>
        </w:r>
        <w:r>
          <w:rPr>
            <w:webHidden/>
          </w:rPr>
          <w:fldChar w:fldCharType="separate"/>
        </w:r>
        <w:r>
          <w:rPr>
            <w:webHidden/>
          </w:rPr>
          <w:t>17</w:t>
        </w:r>
        <w:r>
          <w:rPr>
            <w:webHidden/>
          </w:rPr>
          <w:fldChar w:fldCharType="end"/>
        </w:r>
      </w:hyperlink>
    </w:p>
    <w:p w14:paraId="793B3E9E" w14:textId="5A54418A"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94" w:history="1">
        <w:r w:rsidRPr="004D0271">
          <w:rPr>
            <w:rStyle w:val="Hyperlink"/>
          </w:rPr>
          <w:t>5.3</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BusinessProcess - Risk Management – Margining Process</w:t>
        </w:r>
        <w:r>
          <w:rPr>
            <w:webHidden/>
          </w:rPr>
          <w:tab/>
        </w:r>
        <w:r>
          <w:rPr>
            <w:webHidden/>
          </w:rPr>
          <w:fldChar w:fldCharType="begin"/>
        </w:r>
        <w:r>
          <w:rPr>
            <w:webHidden/>
          </w:rPr>
          <w:instrText xml:space="preserve"> PAGEREF _Toc191756094 \h </w:instrText>
        </w:r>
        <w:r>
          <w:rPr>
            <w:webHidden/>
          </w:rPr>
        </w:r>
        <w:r>
          <w:rPr>
            <w:webHidden/>
          </w:rPr>
          <w:fldChar w:fldCharType="separate"/>
        </w:r>
        <w:r>
          <w:rPr>
            <w:webHidden/>
          </w:rPr>
          <w:t>18</w:t>
        </w:r>
        <w:r>
          <w:rPr>
            <w:webHidden/>
          </w:rPr>
          <w:fldChar w:fldCharType="end"/>
        </w:r>
      </w:hyperlink>
    </w:p>
    <w:p w14:paraId="70DE1C25" w14:textId="576F2BBA"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95" w:history="1">
        <w:r w:rsidRPr="004D0271">
          <w:rPr>
            <w:rStyle w:val="Hyperlink"/>
          </w:rPr>
          <w:t>5.4</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BusinessProcess - Risk Management – Default Fund Contribution Process</w:t>
        </w:r>
        <w:r>
          <w:rPr>
            <w:webHidden/>
          </w:rPr>
          <w:tab/>
        </w:r>
        <w:r>
          <w:rPr>
            <w:webHidden/>
          </w:rPr>
          <w:fldChar w:fldCharType="begin"/>
        </w:r>
        <w:r>
          <w:rPr>
            <w:webHidden/>
          </w:rPr>
          <w:instrText xml:space="preserve"> PAGEREF _Toc191756095 \h </w:instrText>
        </w:r>
        <w:r>
          <w:rPr>
            <w:webHidden/>
          </w:rPr>
        </w:r>
        <w:r>
          <w:rPr>
            <w:webHidden/>
          </w:rPr>
          <w:fldChar w:fldCharType="separate"/>
        </w:r>
        <w:r>
          <w:rPr>
            <w:webHidden/>
          </w:rPr>
          <w:t>20</w:t>
        </w:r>
        <w:r>
          <w:rPr>
            <w:webHidden/>
          </w:rPr>
          <w:fldChar w:fldCharType="end"/>
        </w:r>
      </w:hyperlink>
    </w:p>
    <w:p w14:paraId="13EAB540" w14:textId="2D85126D"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96" w:history="1">
        <w:r w:rsidRPr="004D0271">
          <w:rPr>
            <w:rStyle w:val="Hyperlink"/>
          </w:rPr>
          <w:t>5.5</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BusinessProcess - Settlement Management – Settlement Netting Process</w:t>
        </w:r>
        <w:r>
          <w:rPr>
            <w:webHidden/>
          </w:rPr>
          <w:tab/>
        </w:r>
        <w:r>
          <w:rPr>
            <w:webHidden/>
          </w:rPr>
          <w:fldChar w:fldCharType="begin"/>
        </w:r>
        <w:r>
          <w:rPr>
            <w:webHidden/>
          </w:rPr>
          <w:instrText xml:space="preserve"> PAGEREF _Toc191756096 \h </w:instrText>
        </w:r>
        <w:r>
          <w:rPr>
            <w:webHidden/>
          </w:rPr>
        </w:r>
        <w:r>
          <w:rPr>
            <w:webHidden/>
          </w:rPr>
          <w:fldChar w:fldCharType="separate"/>
        </w:r>
        <w:r>
          <w:rPr>
            <w:webHidden/>
          </w:rPr>
          <w:t>22</w:t>
        </w:r>
        <w:r>
          <w:rPr>
            <w:webHidden/>
          </w:rPr>
          <w:fldChar w:fldCharType="end"/>
        </w:r>
      </w:hyperlink>
    </w:p>
    <w:p w14:paraId="2E380AD4" w14:textId="03FBA74F"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97" w:history="1">
        <w:r w:rsidRPr="004D0271">
          <w:rPr>
            <w:rStyle w:val="Hyperlink"/>
          </w:rPr>
          <w:t>5.6</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Settlement Management – Buy-In Process</w:t>
        </w:r>
        <w:r>
          <w:rPr>
            <w:webHidden/>
          </w:rPr>
          <w:tab/>
        </w:r>
        <w:r>
          <w:rPr>
            <w:webHidden/>
          </w:rPr>
          <w:fldChar w:fldCharType="begin"/>
        </w:r>
        <w:r>
          <w:rPr>
            <w:webHidden/>
          </w:rPr>
          <w:instrText xml:space="preserve"> PAGEREF _Toc191756097 \h </w:instrText>
        </w:r>
        <w:r>
          <w:rPr>
            <w:webHidden/>
          </w:rPr>
        </w:r>
        <w:r>
          <w:rPr>
            <w:webHidden/>
          </w:rPr>
          <w:fldChar w:fldCharType="separate"/>
        </w:r>
        <w:r>
          <w:rPr>
            <w:webHidden/>
          </w:rPr>
          <w:t>24</w:t>
        </w:r>
        <w:r>
          <w:rPr>
            <w:webHidden/>
          </w:rPr>
          <w:fldChar w:fldCharType="end"/>
        </w:r>
      </w:hyperlink>
    </w:p>
    <w:p w14:paraId="370431CC" w14:textId="3F0C10A9" w:rsidR="00EF137B" w:rsidRDefault="00EF137B">
      <w:pPr>
        <w:pStyle w:val="TOC1"/>
        <w:rPr>
          <w:rFonts w:asciiTheme="minorHAnsi" w:eastAsiaTheme="minorEastAsia" w:hAnsiTheme="minorHAnsi" w:cstheme="minorBidi"/>
          <w:b w:val="0"/>
          <w:kern w:val="2"/>
          <w:sz w:val="24"/>
          <w:szCs w:val="24"/>
          <w:lang w:val="en-US"/>
          <w14:ligatures w14:val="standardContextual"/>
        </w:rPr>
      </w:pPr>
      <w:hyperlink w:anchor="_Toc191756098" w:history="1">
        <w:r w:rsidRPr="004D0271">
          <w:rPr>
            <w:rStyle w:val="Hyperlink"/>
          </w:rPr>
          <w:t>6</w:t>
        </w:r>
        <w:r>
          <w:rPr>
            <w:rFonts w:asciiTheme="minorHAnsi" w:eastAsiaTheme="minorEastAsia" w:hAnsiTheme="minorHAnsi" w:cstheme="minorBidi"/>
            <w:b w:val="0"/>
            <w:kern w:val="2"/>
            <w:sz w:val="24"/>
            <w:szCs w:val="24"/>
            <w:lang w:val="en-US"/>
            <w14:ligatures w14:val="standardContextual"/>
          </w:rPr>
          <w:tab/>
        </w:r>
        <w:r w:rsidRPr="004D0271">
          <w:rPr>
            <w:rStyle w:val="Hyperlink"/>
          </w:rPr>
          <w:t>BusinessTransactions</w:t>
        </w:r>
        <w:r>
          <w:rPr>
            <w:webHidden/>
          </w:rPr>
          <w:tab/>
        </w:r>
        <w:r>
          <w:rPr>
            <w:webHidden/>
          </w:rPr>
          <w:fldChar w:fldCharType="begin"/>
        </w:r>
        <w:r>
          <w:rPr>
            <w:webHidden/>
          </w:rPr>
          <w:instrText xml:space="preserve"> PAGEREF _Toc191756098 \h </w:instrText>
        </w:r>
        <w:r>
          <w:rPr>
            <w:webHidden/>
          </w:rPr>
        </w:r>
        <w:r>
          <w:rPr>
            <w:webHidden/>
          </w:rPr>
          <w:fldChar w:fldCharType="separate"/>
        </w:r>
        <w:r>
          <w:rPr>
            <w:webHidden/>
          </w:rPr>
          <w:t>26</w:t>
        </w:r>
        <w:r>
          <w:rPr>
            <w:webHidden/>
          </w:rPr>
          <w:fldChar w:fldCharType="end"/>
        </w:r>
      </w:hyperlink>
    </w:p>
    <w:p w14:paraId="36F71D3A" w14:textId="71F64435"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099" w:history="1">
        <w:r w:rsidRPr="004D0271">
          <w:rPr>
            <w:rStyle w:val="Hyperlink"/>
          </w:rPr>
          <w:t>6.1</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Trade Leg Notification BusinessTransaction</w:t>
        </w:r>
        <w:r>
          <w:rPr>
            <w:webHidden/>
          </w:rPr>
          <w:tab/>
        </w:r>
        <w:r>
          <w:rPr>
            <w:webHidden/>
          </w:rPr>
          <w:fldChar w:fldCharType="begin"/>
        </w:r>
        <w:r>
          <w:rPr>
            <w:webHidden/>
          </w:rPr>
          <w:instrText xml:space="preserve"> PAGEREF _Toc191756099 \h </w:instrText>
        </w:r>
        <w:r>
          <w:rPr>
            <w:webHidden/>
          </w:rPr>
        </w:r>
        <w:r>
          <w:rPr>
            <w:webHidden/>
          </w:rPr>
          <w:fldChar w:fldCharType="separate"/>
        </w:r>
        <w:r>
          <w:rPr>
            <w:webHidden/>
          </w:rPr>
          <w:t>26</w:t>
        </w:r>
        <w:r>
          <w:rPr>
            <w:webHidden/>
          </w:rPr>
          <w:fldChar w:fldCharType="end"/>
        </w:r>
      </w:hyperlink>
    </w:p>
    <w:p w14:paraId="412903CD" w14:textId="73106789"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100" w:history="1">
        <w:r w:rsidRPr="004D0271">
          <w:rPr>
            <w:rStyle w:val="Hyperlink"/>
          </w:rPr>
          <w:t>6.2</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Trade Leg Notification Cancellation BusinessTransaction</w:t>
        </w:r>
        <w:r>
          <w:rPr>
            <w:webHidden/>
          </w:rPr>
          <w:tab/>
        </w:r>
        <w:r>
          <w:rPr>
            <w:webHidden/>
          </w:rPr>
          <w:fldChar w:fldCharType="begin"/>
        </w:r>
        <w:r>
          <w:rPr>
            <w:webHidden/>
          </w:rPr>
          <w:instrText xml:space="preserve"> PAGEREF _Toc191756100 \h </w:instrText>
        </w:r>
        <w:r>
          <w:rPr>
            <w:webHidden/>
          </w:rPr>
        </w:r>
        <w:r>
          <w:rPr>
            <w:webHidden/>
          </w:rPr>
          <w:fldChar w:fldCharType="separate"/>
        </w:r>
        <w:r>
          <w:rPr>
            <w:webHidden/>
          </w:rPr>
          <w:t>26</w:t>
        </w:r>
        <w:r>
          <w:rPr>
            <w:webHidden/>
          </w:rPr>
          <w:fldChar w:fldCharType="end"/>
        </w:r>
      </w:hyperlink>
    </w:p>
    <w:p w14:paraId="5D839F1F" w14:textId="3B742EE5"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101" w:history="1">
        <w:r w:rsidRPr="004D0271">
          <w:rPr>
            <w:rStyle w:val="Hyperlink"/>
          </w:rPr>
          <w:t>6.3</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Position Netting BusinessTransaction</w:t>
        </w:r>
        <w:r>
          <w:rPr>
            <w:webHidden/>
          </w:rPr>
          <w:tab/>
        </w:r>
        <w:r>
          <w:rPr>
            <w:webHidden/>
          </w:rPr>
          <w:fldChar w:fldCharType="begin"/>
        </w:r>
        <w:r>
          <w:rPr>
            <w:webHidden/>
          </w:rPr>
          <w:instrText xml:space="preserve"> PAGEREF _Toc191756101 \h </w:instrText>
        </w:r>
        <w:r>
          <w:rPr>
            <w:webHidden/>
          </w:rPr>
        </w:r>
        <w:r>
          <w:rPr>
            <w:webHidden/>
          </w:rPr>
          <w:fldChar w:fldCharType="separate"/>
        </w:r>
        <w:r>
          <w:rPr>
            <w:webHidden/>
          </w:rPr>
          <w:t>27</w:t>
        </w:r>
        <w:r>
          <w:rPr>
            <w:webHidden/>
          </w:rPr>
          <w:fldChar w:fldCharType="end"/>
        </w:r>
      </w:hyperlink>
    </w:p>
    <w:p w14:paraId="1D7C4553" w14:textId="2731658C"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102" w:history="1">
        <w:r w:rsidRPr="004D0271">
          <w:rPr>
            <w:rStyle w:val="Hyperlink"/>
          </w:rPr>
          <w:t>6.4</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Margining BusinessTransaction</w:t>
        </w:r>
        <w:r>
          <w:rPr>
            <w:webHidden/>
          </w:rPr>
          <w:tab/>
        </w:r>
        <w:r>
          <w:rPr>
            <w:webHidden/>
          </w:rPr>
          <w:fldChar w:fldCharType="begin"/>
        </w:r>
        <w:r>
          <w:rPr>
            <w:webHidden/>
          </w:rPr>
          <w:instrText xml:space="preserve"> PAGEREF _Toc191756102 \h </w:instrText>
        </w:r>
        <w:r>
          <w:rPr>
            <w:webHidden/>
          </w:rPr>
        </w:r>
        <w:r>
          <w:rPr>
            <w:webHidden/>
          </w:rPr>
          <w:fldChar w:fldCharType="separate"/>
        </w:r>
        <w:r>
          <w:rPr>
            <w:webHidden/>
          </w:rPr>
          <w:t>27</w:t>
        </w:r>
        <w:r>
          <w:rPr>
            <w:webHidden/>
          </w:rPr>
          <w:fldChar w:fldCharType="end"/>
        </w:r>
      </w:hyperlink>
    </w:p>
    <w:p w14:paraId="437C4B8E" w14:textId="19F25643"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103" w:history="1">
        <w:r w:rsidRPr="004D0271">
          <w:rPr>
            <w:rStyle w:val="Hyperlink"/>
          </w:rPr>
          <w:t>6.5</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Default Fund Contribution BusinessTransaction</w:t>
        </w:r>
        <w:r>
          <w:rPr>
            <w:webHidden/>
          </w:rPr>
          <w:tab/>
        </w:r>
        <w:r>
          <w:rPr>
            <w:webHidden/>
          </w:rPr>
          <w:fldChar w:fldCharType="begin"/>
        </w:r>
        <w:r>
          <w:rPr>
            <w:webHidden/>
          </w:rPr>
          <w:instrText xml:space="preserve"> PAGEREF _Toc191756103 \h </w:instrText>
        </w:r>
        <w:r>
          <w:rPr>
            <w:webHidden/>
          </w:rPr>
        </w:r>
        <w:r>
          <w:rPr>
            <w:webHidden/>
          </w:rPr>
          <w:fldChar w:fldCharType="separate"/>
        </w:r>
        <w:r>
          <w:rPr>
            <w:webHidden/>
          </w:rPr>
          <w:t>28</w:t>
        </w:r>
        <w:r>
          <w:rPr>
            <w:webHidden/>
          </w:rPr>
          <w:fldChar w:fldCharType="end"/>
        </w:r>
      </w:hyperlink>
    </w:p>
    <w:p w14:paraId="126B6E97" w14:textId="45AEA83A"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104" w:history="1">
        <w:r w:rsidRPr="004D0271">
          <w:rPr>
            <w:rStyle w:val="Hyperlink"/>
          </w:rPr>
          <w:t>6.6</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Settlement Netting BusinessTransaction</w:t>
        </w:r>
        <w:r>
          <w:rPr>
            <w:webHidden/>
          </w:rPr>
          <w:tab/>
        </w:r>
        <w:r>
          <w:rPr>
            <w:webHidden/>
          </w:rPr>
          <w:fldChar w:fldCharType="begin"/>
        </w:r>
        <w:r>
          <w:rPr>
            <w:webHidden/>
          </w:rPr>
          <w:instrText xml:space="preserve"> PAGEREF _Toc191756104 \h </w:instrText>
        </w:r>
        <w:r>
          <w:rPr>
            <w:webHidden/>
          </w:rPr>
        </w:r>
        <w:r>
          <w:rPr>
            <w:webHidden/>
          </w:rPr>
          <w:fldChar w:fldCharType="separate"/>
        </w:r>
        <w:r>
          <w:rPr>
            <w:webHidden/>
          </w:rPr>
          <w:t>29</w:t>
        </w:r>
        <w:r>
          <w:rPr>
            <w:webHidden/>
          </w:rPr>
          <w:fldChar w:fldCharType="end"/>
        </w:r>
      </w:hyperlink>
    </w:p>
    <w:p w14:paraId="3E7E4ED4" w14:textId="5E71C347" w:rsidR="00EF137B" w:rsidRDefault="00EF137B">
      <w:pPr>
        <w:pStyle w:val="TOC2"/>
        <w:rPr>
          <w:rFonts w:asciiTheme="minorHAnsi" w:eastAsiaTheme="minorEastAsia" w:hAnsiTheme="minorHAnsi" w:cstheme="minorBidi"/>
          <w:snapToGrid/>
          <w:kern w:val="2"/>
          <w:sz w:val="24"/>
          <w:szCs w:val="24"/>
          <w:lang w:val="en-US"/>
          <w14:ligatures w14:val="standardContextual"/>
        </w:rPr>
      </w:pPr>
      <w:hyperlink w:anchor="_Toc191756105" w:history="1">
        <w:r w:rsidRPr="004D0271">
          <w:rPr>
            <w:rStyle w:val="Hyperlink"/>
          </w:rPr>
          <w:t>6.7</w:t>
        </w:r>
        <w:r>
          <w:rPr>
            <w:rFonts w:asciiTheme="minorHAnsi" w:eastAsiaTheme="minorEastAsia" w:hAnsiTheme="minorHAnsi" w:cstheme="minorBidi"/>
            <w:snapToGrid/>
            <w:kern w:val="2"/>
            <w:sz w:val="24"/>
            <w:szCs w:val="24"/>
            <w:lang w:val="en-US"/>
            <w14:ligatures w14:val="standardContextual"/>
          </w:rPr>
          <w:tab/>
        </w:r>
        <w:r w:rsidRPr="004D0271">
          <w:rPr>
            <w:rStyle w:val="Hyperlink"/>
          </w:rPr>
          <w:t>Buy-in BusinessTransaction</w:t>
        </w:r>
        <w:r>
          <w:rPr>
            <w:webHidden/>
          </w:rPr>
          <w:tab/>
        </w:r>
        <w:r>
          <w:rPr>
            <w:webHidden/>
          </w:rPr>
          <w:fldChar w:fldCharType="begin"/>
        </w:r>
        <w:r>
          <w:rPr>
            <w:webHidden/>
          </w:rPr>
          <w:instrText xml:space="preserve"> PAGEREF _Toc191756105 \h </w:instrText>
        </w:r>
        <w:r>
          <w:rPr>
            <w:webHidden/>
          </w:rPr>
        </w:r>
        <w:r>
          <w:rPr>
            <w:webHidden/>
          </w:rPr>
          <w:fldChar w:fldCharType="separate"/>
        </w:r>
        <w:r>
          <w:rPr>
            <w:webHidden/>
          </w:rPr>
          <w:t>29</w:t>
        </w:r>
        <w:r>
          <w:rPr>
            <w:webHidden/>
          </w:rPr>
          <w:fldChar w:fldCharType="end"/>
        </w:r>
      </w:hyperlink>
    </w:p>
    <w:p w14:paraId="0EA2E8CB" w14:textId="16B34761" w:rsidR="00EF137B" w:rsidRDefault="00EF137B">
      <w:pPr>
        <w:pStyle w:val="TOC1"/>
        <w:rPr>
          <w:rFonts w:asciiTheme="minorHAnsi" w:eastAsiaTheme="minorEastAsia" w:hAnsiTheme="minorHAnsi" w:cstheme="minorBidi"/>
          <w:b w:val="0"/>
          <w:kern w:val="2"/>
          <w:sz w:val="24"/>
          <w:szCs w:val="24"/>
          <w:lang w:val="en-US"/>
          <w14:ligatures w14:val="standardContextual"/>
        </w:rPr>
      </w:pPr>
      <w:hyperlink w:anchor="_Toc191756106" w:history="1">
        <w:r w:rsidRPr="004D0271">
          <w:rPr>
            <w:rStyle w:val="Hyperlink"/>
          </w:rPr>
          <w:t>7</w:t>
        </w:r>
        <w:r>
          <w:rPr>
            <w:rFonts w:asciiTheme="minorHAnsi" w:eastAsiaTheme="minorEastAsia" w:hAnsiTheme="minorHAnsi" w:cstheme="minorBidi"/>
            <w:b w:val="0"/>
            <w:kern w:val="2"/>
            <w:sz w:val="24"/>
            <w:szCs w:val="24"/>
            <w:lang w:val="en-US"/>
            <w14:ligatures w14:val="standardContextual"/>
          </w:rPr>
          <w:tab/>
        </w:r>
        <w:r w:rsidRPr="004D0271">
          <w:rPr>
            <w:rStyle w:val="Hyperlink"/>
          </w:rPr>
          <w:t>Revision Record</w:t>
        </w:r>
        <w:r>
          <w:rPr>
            <w:webHidden/>
          </w:rPr>
          <w:tab/>
        </w:r>
        <w:r>
          <w:rPr>
            <w:webHidden/>
          </w:rPr>
          <w:fldChar w:fldCharType="begin"/>
        </w:r>
        <w:r>
          <w:rPr>
            <w:webHidden/>
          </w:rPr>
          <w:instrText xml:space="preserve"> PAGEREF _Toc191756106 \h </w:instrText>
        </w:r>
        <w:r>
          <w:rPr>
            <w:webHidden/>
          </w:rPr>
        </w:r>
        <w:r>
          <w:rPr>
            <w:webHidden/>
          </w:rPr>
          <w:fldChar w:fldCharType="separate"/>
        </w:r>
        <w:r>
          <w:rPr>
            <w:webHidden/>
          </w:rPr>
          <w:t>31</w:t>
        </w:r>
        <w:r>
          <w:rPr>
            <w:webHidden/>
          </w:rPr>
          <w:fldChar w:fldCharType="end"/>
        </w:r>
      </w:hyperlink>
    </w:p>
    <w:p w14:paraId="3B4FE62A" w14:textId="1AC97C0E" w:rsidR="00C41E6B" w:rsidRDefault="00F45CD3" w:rsidP="00C41E6B">
      <w:pPr>
        <w:pStyle w:val="PreliminaryNote"/>
      </w:pPr>
      <w:r>
        <w:rPr>
          <w:b w:val="0"/>
        </w:rPr>
        <w:fldChar w:fldCharType="end"/>
      </w:r>
      <w:r w:rsidR="00C41E6B">
        <w:rPr>
          <w:b w:val="0"/>
        </w:rPr>
        <w:br w:type="page"/>
      </w:r>
    </w:p>
    <w:p w14:paraId="033DA23E" w14:textId="77777777" w:rsidR="00C41E6B" w:rsidRDefault="00C41E6B" w:rsidP="00C41E6B">
      <w:pPr>
        <w:pStyle w:val="Normalbeforetable"/>
      </w:pPr>
    </w:p>
    <w:p w14:paraId="6E85D4DA" w14:textId="77777777" w:rsidR="001D1C3E" w:rsidRPr="00C45139" w:rsidRDefault="001D1C3E" w:rsidP="001D1C3E">
      <w:pPr>
        <w:pStyle w:val="PreliminaryNote"/>
      </w:pPr>
      <w:r>
        <w:t>Preliminary Note</w:t>
      </w:r>
    </w:p>
    <w:p w14:paraId="1F438F1C" w14:textId="77777777" w:rsidR="001D1C3E" w:rsidRDefault="001D1C3E" w:rsidP="001D1C3E">
      <w:pPr>
        <w:pStyle w:val="Normalbeforetable"/>
      </w:pPr>
      <w:r>
        <w:t>The Message Definition Report (MDR) is made of three parts:</w:t>
      </w:r>
    </w:p>
    <w:p w14:paraId="7DD5DC8A" w14:textId="77777777" w:rsidR="001D1C3E" w:rsidRDefault="001D1C3E" w:rsidP="001D1C3E">
      <w:pPr>
        <w:pStyle w:val="BlockLabel"/>
      </w:pPr>
      <w:r>
        <w:t>MDR Part 1</w:t>
      </w:r>
    </w:p>
    <w:p w14:paraId="107AA341" w14:textId="77777777" w:rsidR="001D1C3E" w:rsidRDefault="001D1C3E" w:rsidP="001D1C3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4BD5B7AC" w14:textId="77777777" w:rsidR="001D1C3E" w:rsidRDefault="001D1C3E" w:rsidP="001D1C3E">
      <w:pPr>
        <w:pStyle w:val="BlockLabel"/>
      </w:pPr>
      <w:r>
        <w:t>MDR Part 2</w:t>
      </w:r>
    </w:p>
    <w:p w14:paraId="60F43120" w14:textId="77777777" w:rsidR="001D1C3E" w:rsidRDefault="001D1C3E" w:rsidP="001D1C3E">
      <w:r>
        <w:t>This is the detailed description of each message definition of the message set. Part 2 is produced by the RA using the model developed by the submitting organisation.</w:t>
      </w:r>
    </w:p>
    <w:p w14:paraId="130D8B32" w14:textId="77777777" w:rsidR="001D1C3E" w:rsidRDefault="001D1C3E" w:rsidP="001D1C3E">
      <w:pPr>
        <w:pStyle w:val="BlockLabel"/>
      </w:pPr>
      <w:r>
        <w:t>MDR Part 3</w:t>
      </w:r>
    </w:p>
    <w:p w14:paraId="09A1A63A" w14:textId="77777777" w:rsidR="00724AB7" w:rsidRDefault="001D1C3E" w:rsidP="005A6353">
      <w:r>
        <w:t>This is an extract if the ISO 20022 Business Model describing the business concepts used in the message set. Part 3 is an Excel document produced by the RA.</w:t>
      </w:r>
    </w:p>
    <w:p w14:paraId="1972C73B" w14:textId="77777777" w:rsidR="00FC66CD" w:rsidRPr="00A23189" w:rsidRDefault="00FC66CD" w:rsidP="005A6353">
      <w:pPr>
        <w:pStyle w:val="Label"/>
        <w:rPr>
          <w:rStyle w:val="Italic"/>
        </w:rPr>
        <w:sectPr w:rsidR="00FC66CD" w:rsidRPr="00A23189" w:rsidSect="00305470">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titlePg/>
          <w:docGrid w:linePitch="272"/>
        </w:sectPr>
      </w:pPr>
    </w:p>
    <w:p w14:paraId="6351D2D6" w14:textId="77777777" w:rsidR="00FC66CD" w:rsidRDefault="000E53BB" w:rsidP="00A8050C">
      <w:pPr>
        <w:pStyle w:val="Heading1"/>
      </w:pPr>
      <w:bookmarkStart w:id="3" w:name="_Toc191756079"/>
      <w:r>
        <w:lastRenderedPageBreak/>
        <w:t>Introduction</w:t>
      </w:r>
      <w:bookmarkEnd w:id="3"/>
    </w:p>
    <w:p w14:paraId="5512429E" w14:textId="77777777" w:rsidR="00FC66CD" w:rsidRPr="00526C98" w:rsidRDefault="000E53BB" w:rsidP="00A8050C">
      <w:pPr>
        <w:pStyle w:val="Heading2"/>
      </w:pPr>
      <w:bookmarkStart w:id="4" w:name="_Toc533501210"/>
      <w:bookmarkStart w:id="5" w:name="_Toc191756080"/>
      <w:r>
        <w:t>Terms and Definitions</w:t>
      </w:r>
      <w:bookmarkEnd w:id="5"/>
    </w:p>
    <w:p w14:paraId="3892904C"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5E33628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69B698D6" w14:textId="77777777" w:rsidR="0052733C" w:rsidRPr="0052733C" w:rsidRDefault="0052733C" w:rsidP="0052733C">
            <w:pPr>
              <w:pStyle w:val="TableHeading"/>
            </w:pPr>
            <w:r w:rsidRPr="0052733C">
              <w:t>Term</w:t>
            </w:r>
          </w:p>
        </w:tc>
        <w:tc>
          <w:tcPr>
            <w:tcW w:w="5988" w:type="dxa"/>
            <w:vAlign w:val="bottom"/>
          </w:tcPr>
          <w:p w14:paraId="1D1232CB" w14:textId="77777777" w:rsidR="0052733C" w:rsidRPr="0052733C" w:rsidRDefault="0052733C" w:rsidP="0052733C">
            <w:pPr>
              <w:pStyle w:val="TableHeading"/>
            </w:pPr>
            <w:r w:rsidRPr="0052733C">
              <w:t>Definition</w:t>
            </w:r>
          </w:p>
        </w:tc>
      </w:tr>
      <w:tr w:rsidR="0052733C" w14:paraId="1F1F1653" w14:textId="77777777" w:rsidTr="0052733C">
        <w:tc>
          <w:tcPr>
            <w:tcW w:w="2376" w:type="dxa"/>
          </w:tcPr>
          <w:p w14:paraId="745875AA"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00A6EEAD"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075BBF60" w14:textId="77777777" w:rsidTr="0052733C">
        <w:tc>
          <w:tcPr>
            <w:tcW w:w="2376" w:type="dxa"/>
          </w:tcPr>
          <w:p w14:paraId="06A83FD4"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7FA5668A"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65B2FE6F" w14:textId="77777777" w:rsidTr="0052733C">
        <w:tc>
          <w:tcPr>
            <w:tcW w:w="2376" w:type="dxa"/>
          </w:tcPr>
          <w:p w14:paraId="65C96BB6"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7B361AE7"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58BE3E3E" w14:textId="77777777" w:rsidTr="0052733C">
        <w:tc>
          <w:tcPr>
            <w:tcW w:w="2376" w:type="dxa"/>
          </w:tcPr>
          <w:p w14:paraId="1ED7E588"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5B8D59E3"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7CC8E9B9" w14:textId="77777777" w:rsidTr="0052733C">
        <w:tc>
          <w:tcPr>
            <w:tcW w:w="2376" w:type="dxa"/>
          </w:tcPr>
          <w:p w14:paraId="1566B621"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2065CF28" w14:textId="77777777" w:rsidR="0052733C" w:rsidRPr="0052733C" w:rsidRDefault="0052733C" w:rsidP="0052733C">
            <w:pPr>
              <w:pStyle w:val="TableText"/>
            </w:pPr>
            <w:r w:rsidRPr="0052733C">
              <w:t>Formal description of the structure of a message instance.</w:t>
            </w:r>
          </w:p>
        </w:tc>
      </w:tr>
    </w:tbl>
    <w:p w14:paraId="42BB6740" w14:textId="77777777" w:rsidR="00FD654E" w:rsidRDefault="00CD7997" w:rsidP="008F067F">
      <w:pPr>
        <w:pStyle w:val="Heading2"/>
      </w:pPr>
      <w:bookmarkStart w:id="6" w:name="_Toc191756081"/>
      <w:r>
        <w:t>Abbreviations and Acronyms</w:t>
      </w:r>
      <w:bookmarkEnd w:id="6"/>
    </w:p>
    <w:p w14:paraId="2A74E4A2"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6958372A" w14:textId="77777777" w:rsidTr="00440B5A">
        <w:trPr>
          <w:cnfStyle w:val="100000000000" w:firstRow="1" w:lastRow="0" w:firstColumn="0" w:lastColumn="0" w:oddVBand="0" w:evenVBand="0" w:oddHBand="0" w:evenHBand="0" w:firstRowFirstColumn="0" w:firstRowLastColumn="0" w:lastRowFirstColumn="0" w:lastRowLastColumn="0"/>
        </w:trPr>
        <w:tc>
          <w:tcPr>
            <w:tcW w:w="2375" w:type="dxa"/>
          </w:tcPr>
          <w:p w14:paraId="6173E148" w14:textId="77777777" w:rsidR="0052733C" w:rsidRDefault="0052733C" w:rsidP="00DD3851">
            <w:pPr>
              <w:pStyle w:val="TableHeading"/>
            </w:pPr>
            <w:r>
              <w:t>Abbreviation/Acronyms</w:t>
            </w:r>
          </w:p>
        </w:tc>
        <w:tc>
          <w:tcPr>
            <w:tcW w:w="5764" w:type="dxa"/>
          </w:tcPr>
          <w:p w14:paraId="35967D78" w14:textId="77777777" w:rsidR="0052733C" w:rsidRDefault="0052733C" w:rsidP="00DD3851">
            <w:pPr>
              <w:pStyle w:val="TableHeading"/>
            </w:pPr>
            <w:r>
              <w:t>Definition</w:t>
            </w:r>
          </w:p>
        </w:tc>
      </w:tr>
      <w:tr w:rsidR="00440B5A" w14:paraId="3F3FC81A" w14:textId="77777777" w:rsidTr="00440B5A">
        <w:tc>
          <w:tcPr>
            <w:tcW w:w="2375" w:type="dxa"/>
            <w:vAlign w:val="center"/>
          </w:tcPr>
          <w:p w14:paraId="7849268A" w14:textId="60AB8657" w:rsidR="00440B5A" w:rsidRPr="00440B5A" w:rsidRDefault="00440B5A" w:rsidP="00440B5A">
            <w:pPr>
              <w:pStyle w:val="TableText"/>
            </w:pPr>
            <w:r w:rsidRPr="00440B5A">
              <w:t>ACK</w:t>
            </w:r>
          </w:p>
        </w:tc>
        <w:tc>
          <w:tcPr>
            <w:tcW w:w="5764" w:type="dxa"/>
            <w:vAlign w:val="center"/>
          </w:tcPr>
          <w:p w14:paraId="295865A2" w14:textId="4FC89D74" w:rsidR="00440B5A" w:rsidRPr="00440B5A" w:rsidRDefault="00440B5A" w:rsidP="00440B5A">
            <w:pPr>
              <w:pStyle w:val="TableText"/>
            </w:pPr>
            <w:r w:rsidRPr="00440B5A">
              <w:t>Acknowledgement</w:t>
            </w:r>
          </w:p>
        </w:tc>
      </w:tr>
      <w:tr w:rsidR="00440B5A" w14:paraId="5714ACFB" w14:textId="77777777" w:rsidTr="00440B5A">
        <w:tc>
          <w:tcPr>
            <w:tcW w:w="2375" w:type="dxa"/>
            <w:vAlign w:val="center"/>
          </w:tcPr>
          <w:p w14:paraId="58B35718" w14:textId="5E4D4C3F" w:rsidR="00440B5A" w:rsidRPr="00440B5A" w:rsidRDefault="00440B5A" w:rsidP="00440B5A">
            <w:pPr>
              <w:pStyle w:val="TableText"/>
            </w:pPr>
            <w:bookmarkStart w:id="7" w:name="_Hlk191754322"/>
            <w:r w:rsidRPr="00440B5A">
              <w:t>B/D</w:t>
            </w:r>
          </w:p>
        </w:tc>
        <w:tc>
          <w:tcPr>
            <w:tcW w:w="5764" w:type="dxa"/>
            <w:vAlign w:val="center"/>
          </w:tcPr>
          <w:p w14:paraId="7321144C" w14:textId="5672F64F" w:rsidR="00440B5A" w:rsidRPr="00440B5A" w:rsidRDefault="00440B5A" w:rsidP="00440B5A">
            <w:pPr>
              <w:pStyle w:val="TableText"/>
            </w:pPr>
            <w:r w:rsidRPr="00440B5A">
              <w:t>Broker/Dealer</w:t>
            </w:r>
          </w:p>
        </w:tc>
      </w:tr>
      <w:tr w:rsidR="00440B5A" w14:paraId="3E95DF32" w14:textId="77777777" w:rsidTr="00440B5A">
        <w:tc>
          <w:tcPr>
            <w:tcW w:w="2375" w:type="dxa"/>
            <w:vAlign w:val="center"/>
          </w:tcPr>
          <w:p w14:paraId="426D2A7E" w14:textId="13602458" w:rsidR="00440B5A" w:rsidRPr="00440B5A" w:rsidRDefault="00440B5A" w:rsidP="00440B5A">
            <w:pPr>
              <w:pStyle w:val="TableText"/>
            </w:pPr>
            <w:r w:rsidRPr="00440B5A">
              <w:t>CCP</w:t>
            </w:r>
          </w:p>
        </w:tc>
        <w:tc>
          <w:tcPr>
            <w:tcW w:w="5764" w:type="dxa"/>
            <w:vAlign w:val="center"/>
          </w:tcPr>
          <w:p w14:paraId="7103EC87" w14:textId="6A5F102B" w:rsidR="00440B5A" w:rsidRPr="00440B5A" w:rsidRDefault="00440B5A" w:rsidP="00440B5A">
            <w:pPr>
              <w:pStyle w:val="TableText"/>
            </w:pPr>
            <w:r w:rsidRPr="00440B5A">
              <w:t>Central Counterparty</w:t>
            </w:r>
          </w:p>
        </w:tc>
      </w:tr>
      <w:tr w:rsidR="00440B5A" w14:paraId="3C64E451" w14:textId="77777777" w:rsidTr="00440B5A">
        <w:tc>
          <w:tcPr>
            <w:tcW w:w="2375" w:type="dxa"/>
            <w:vAlign w:val="center"/>
          </w:tcPr>
          <w:p w14:paraId="2A6C22DA" w14:textId="5BFC3768" w:rsidR="00440B5A" w:rsidRPr="00440B5A" w:rsidRDefault="00440B5A" w:rsidP="00440B5A">
            <w:pPr>
              <w:pStyle w:val="TableText"/>
            </w:pPr>
            <w:r w:rsidRPr="00440B5A">
              <w:t>CSD</w:t>
            </w:r>
          </w:p>
        </w:tc>
        <w:tc>
          <w:tcPr>
            <w:tcW w:w="5764" w:type="dxa"/>
            <w:vAlign w:val="center"/>
          </w:tcPr>
          <w:p w14:paraId="1181D213" w14:textId="75E67F4C" w:rsidR="00440B5A" w:rsidRPr="00440B5A" w:rsidRDefault="00440B5A" w:rsidP="00440B5A">
            <w:pPr>
              <w:pStyle w:val="TableText"/>
            </w:pPr>
            <w:r w:rsidRPr="00440B5A">
              <w:t>Central Securities Depository</w:t>
            </w:r>
          </w:p>
        </w:tc>
      </w:tr>
      <w:tr w:rsidR="00440B5A" w14:paraId="0474A9A9" w14:textId="77777777" w:rsidTr="00440B5A">
        <w:tc>
          <w:tcPr>
            <w:tcW w:w="2375" w:type="dxa"/>
            <w:vAlign w:val="center"/>
          </w:tcPr>
          <w:p w14:paraId="52B0431C" w14:textId="26AE83BE" w:rsidR="00440B5A" w:rsidRPr="00440B5A" w:rsidRDefault="00440B5A" w:rsidP="00440B5A">
            <w:pPr>
              <w:pStyle w:val="TableText"/>
            </w:pPr>
            <w:r w:rsidRPr="00440B5A">
              <w:t>CNS</w:t>
            </w:r>
          </w:p>
        </w:tc>
        <w:tc>
          <w:tcPr>
            <w:tcW w:w="5764" w:type="dxa"/>
            <w:vAlign w:val="center"/>
          </w:tcPr>
          <w:p w14:paraId="4F0B6D80" w14:textId="1000D0B1" w:rsidR="00440B5A" w:rsidRPr="00440B5A" w:rsidRDefault="00440B5A" w:rsidP="00440B5A">
            <w:pPr>
              <w:pStyle w:val="TableText"/>
            </w:pPr>
            <w:r w:rsidRPr="00440B5A">
              <w:t>Continuous Net Settlement</w:t>
            </w:r>
          </w:p>
        </w:tc>
      </w:tr>
      <w:tr w:rsidR="00440B5A" w14:paraId="074C20CF" w14:textId="77777777" w:rsidTr="00440B5A">
        <w:tc>
          <w:tcPr>
            <w:tcW w:w="2375" w:type="dxa"/>
            <w:vAlign w:val="center"/>
          </w:tcPr>
          <w:p w14:paraId="0A9D69ED" w14:textId="0A52C06A" w:rsidR="00440B5A" w:rsidRPr="00440B5A" w:rsidRDefault="00440B5A" w:rsidP="00440B5A">
            <w:pPr>
              <w:pStyle w:val="TableText"/>
            </w:pPr>
            <w:r w:rsidRPr="00440B5A">
              <w:t>EACH</w:t>
            </w:r>
          </w:p>
        </w:tc>
        <w:tc>
          <w:tcPr>
            <w:tcW w:w="5764" w:type="dxa"/>
            <w:vAlign w:val="center"/>
          </w:tcPr>
          <w:p w14:paraId="53F55F0C" w14:textId="23AC5922" w:rsidR="00440B5A" w:rsidRPr="00440B5A" w:rsidRDefault="00440B5A" w:rsidP="00440B5A">
            <w:pPr>
              <w:pStyle w:val="TableText"/>
            </w:pPr>
            <w:r w:rsidRPr="00440B5A">
              <w:t>European Association of Central Counterparty Clearing Houses</w:t>
            </w:r>
          </w:p>
        </w:tc>
      </w:tr>
      <w:tr w:rsidR="00440B5A" w14:paraId="627FCAE2" w14:textId="77777777" w:rsidTr="00440B5A">
        <w:tc>
          <w:tcPr>
            <w:tcW w:w="2375" w:type="dxa"/>
            <w:vAlign w:val="center"/>
          </w:tcPr>
          <w:p w14:paraId="0E9369B0" w14:textId="25E430CA" w:rsidR="00440B5A" w:rsidRPr="00440B5A" w:rsidRDefault="00440B5A" w:rsidP="00440B5A">
            <w:pPr>
              <w:pStyle w:val="TableText"/>
            </w:pPr>
            <w:r w:rsidRPr="00440B5A">
              <w:t>ESCB</w:t>
            </w:r>
          </w:p>
        </w:tc>
        <w:tc>
          <w:tcPr>
            <w:tcW w:w="5764" w:type="dxa"/>
            <w:vAlign w:val="center"/>
          </w:tcPr>
          <w:p w14:paraId="484A392A" w14:textId="3E307B24" w:rsidR="00440B5A" w:rsidRPr="00440B5A" w:rsidRDefault="00440B5A" w:rsidP="00440B5A">
            <w:pPr>
              <w:pStyle w:val="TableText"/>
            </w:pPr>
            <w:r w:rsidRPr="00440B5A">
              <w:t>European System of Central Banks</w:t>
            </w:r>
          </w:p>
        </w:tc>
      </w:tr>
      <w:tr w:rsidR="00440B5A" w14:paraId="77ECE858" w14:textId="77777777" w:rsidTr="00440B5A">
        <w:tc>
          <w:tcPr>
            <w:tcW w:w="2375" w:type="dxa"/>
            <w:vAlign w:val="center"/>
          </w:tcPr>
          <w:p w14:paraId="6CA178CC" w14:textId="64F0F209" w:rsidR="00440B5A" w:rsidRPr="00440B5A" w:rsidRDefault="00440B5A" w:rsidP="00440B5A">
            <w:pPr>
              <w:pStyle w:val="TableText"/>
            </w:pPr>
            <w:r w:rsidRPr="00440B5A">
              <w:t>ECSR</w:t>
            </w:r>
          </w:p>
        </w:tc>
        <w:tc>
          <w:tcPr>
            <w:tcW w:w="5764" w:type="dxa"/>
            <w:vAlign w:val="center"/>
          </w:tcPr>
          <w:p w14:paraId="09A41CAE" w14:textId="0A823AEF" w:rsidR="00440B5A" w:rsidRPr="00440B5A" w:rsidRDefault="00440B5A" w:rsidP="00440B5A">
            <w:pPr>
              <w:pStyle w:val="TableText"/>
            </w:pPr>
            <w:r w:rsidRPr="00440B5A">
              <w:t>Committee of European Securities Regulators</w:t>
            </w:r>
          </w:p>
        </w:tc>
      </w:tr>
      <w:tr w:rsidR="00440B5A" w14:paraId="4B543D0E" w14:textId="77777777" w:rsidTr="00440B5A">
        <w:tc>
          <w:tcPr>
            <w:tcW w:w="2375" w:type="dxa"/>
            <w:vAlign w:val="center"/>
          </w:tcPr>
          <w:p w14:paraId="569A6D75" w14:textId="411B995F" w:rsidR="00440B5A" w:rsidRPr="00440B5A" w:rsidRDefault="00440B5A" w:rsidP="00440B5A">
            <w:pPr>
              <w:pStyle w:val="TableText"/>
            </w:pPr>
            <w:r w:rsidRPr="00440B5A">
              <w:t>FIA</w:t>
            </w:r>
          </w:p>
        </w:tc>
        <w:tc>
          <w:tcPr>
            <w:tcW w:w="5764" w:type="dxa"/>
            <w:vAlign w:val="center"/>
          </w:tcPr>
          <w:p w14:paraId="7D65F425" w14:textId="5AD7B457" w:rsidR="00440B5A" w:rsidRPr="00440B5A" w:rsidRDefault="00440B5A" w:rsidP="00440B5A">
            <w:pPr>
              <w:pStyle w:val="TableText"/>
            </w:pPr>
            <w:r w:rsidRPr="00440B5A">
              <w:t>Futures Industry Association</w:t>
            </w:r>
          </w:p>
        </w:tc>
      </w:tr>
      <w:tr w:rsidR="00440B5A" w14:paraId="3FF2FA0D" w14:textId="77777777" w:rsidTr="00440B5A">
        <w:tc>
          <w:tcPr>
            <w:tcW w:w="2375" w:type="dxa"/>
            <w:vAlign w:val="center"/>
          </w:tcPr>
          <w:p w14:paraId="79B7279C" w14:textId="202E5DDA" w:rsidR="00440B5A" w:rsidRPr="00440B5A" w:rsidRDefault="00440B5A" w:rsidP="00440B5A">
            <w:pPr>
              <w:pStyle w:val="TableText"/>
            </w:pPr>
            <w:r w:rsidRPr="00440B5A">
              <w:t>FOA</w:t>
            </w:r>
          </w:p>
        </w:tc>
        <w:tc>
          <w:tcPr>
            <w:tcW w:w="5764" w:type="dxa"/>
            <w:vAlign w:val="center"/>
          </w:tcPr>
          <w:p w14:paraId="02779099" w14:textId="2DD32B6B" w:rsidR="00440B5A" w:rsidRPr="00440B5A" w:rsidRDefault="00440B5A" w:rsidP="00440B5A">
            <w:pPr>
              <w:pStyle w:val="TableText"/>
            </w:pPr>
            <w:r w:rsidRPr="00440B5A">
              <w:t>Futures and Options Association</w:t>
            </w:r>
          </w:p>
        </w:tc>
      </w:tr>
      <w:tr w:rsidR="00440B5A" w14:paraId="54D4B985" w14:textId="77777777" w:rsidTr="00440B5A">
        <w:tc>
          <w:tcPr>
            <w:tcW w:w="2375" w:type="dxa"/>
            <w:vAlign w:val="center"/>
          </w:tcPr>
          <w:p w14:paraId="676F8E9A" w14:textId="19357CB1" w:rsidR="00440B5A" w:rsidRPr="00440B5A" w:rsidRDefault="00440B5A" w:rsidP="00440B5A">
            <w:pPr>
              <w:pStyle w:val="TableText"/>
            </w:pPr>
            <w:r w:rsidRPr="00440B5A">
              <w:t>IDB</w:t>
            </w:r>
          </w:p>
        </w:tc>
        <w:tc>
          <w:tcPr>
            <w:tcW w:w="5764" w:type="dxa"/>
            <w:vAlign w:val="center"/>
          </w:tcPr>
          <w:p w14:paraId="3DBE9E89" w14:textId="33FD5D74" w:rsidR="00440B5A" w:rsidRPr="00440B5A" w:rsidRDefault="00440B5A" w:rsidP="00440B5A">
            <w:pPr>
              <w:pStyle w:val="TableText"/>
            </w:pPr>
            <w:r w:rsidRPr="00440B5A">
              <w:t>Inter-dealer/broker</w:t>
            </w:r>
          </w:p>
        </w:tc>
      </w:tr>
      <w:tr w:rsidR="00440B5A" w14:paraId="23D01B9B" w14:textId="77777777" w:rsidTr="00440B5A">
        <w:tc>
          <w:tcPr>
            <w:tcW w:w="2375" w:type="dxa"/>
            <w:vAlign w:val="center"/>
          </w:tcPr>
          <w:p w14:paraId="7FDE15A7" w14:textId="19F70C1A" w:rsidR="00440B5A" w:rsidRPr="00440B5A" w:rsidRDefault="00440B5A" w:rsidP="00440B5A">
            <w:pPr>
              <w:pStyle w:val="TableText"/>
            </w:pPr>
            <w:r w:rsidRPr="00440B5A">
              <w:t>NAK</w:t>
            </w:r>
          </w:p>
        </w:tc>
        <w:tc>
          <w:tcPr>
            <w:tcW w:w="5764" w:type="dxa"/>
            <w:vAlign w:val="center"/>
          </w:tcPr>
          <w:p w14:paraId="05F1AEEB" w14:textId="3597F692" w:rsidR="00440B5A" w:rsidRPr="00440B5A" w:rsidRDefault="00440B5A" w:rsidP="00440B5A">
            <w:pPr>
              <w:pStyle w:val="TableText"/>
            </w:pPr>
            <w:r w:rsidRPr="00440B5A">
              <w:t>Negative Acknowledgement (reject)</w:t>
            </w:r>
          </w:p>
        </w:tc>
      </w:tr>
      <w:tr w:rsidR="00440B5A" w14:paraId="7AE479A5" w14:textId="77777777" w:rsidTr="00440B5A">
        <w:tc>
          <w:tcPr>
            <w:tcW w:w="2375" w:type="dxa"/>
            <w:vAlign w:val="center"/>
          </w:tcPr>
          <w:p w14:paraId="01BFBF90" w14:textId="21DB1090" w:rsidR="00440B5A" w:rsidRPr="00440B5A" w:rsidRDefault="00440B5A" w:rsidP="00440B5A">
            <w:pPr>
              <w:pStyle w:val="TableText"/>
            </w:pPr>
            <w:r w:rsidRPr="00440B5A">
              <w:t xml:space="preserve">(G or I)CM </w:t>
            </w:r>
          </w:p>
        </w:tc>
        <w:tc>
          <w:tcPr>
            <w:tcW w:w="5764" w:type="dxa"/>
            <w:vAlign w:val="center"/>
          </w:tcPr>
          <w:p w14:paraId="342497E8" w14:textId="6C172FC3" w:rsidR="00440B5A" w:rsidRPr="00440B5A" w:rsidRDefault="00440B5A" w:rsidP="00440B5A">
            <w:pPr>
              <w:pStyle w:val="TableText"/>
            </w:pPr>
            <w:r w:rsidRPr="00440B5A">
              <w:t>(General or Individual) Clearing Member</w:t>
            </w:r>
          </w:p>
        </w:tc>
      </w:tr>
      <w:tr w:rsidR="00440B5A" w14:paraId="40F6756D" w14:textId="77777777" w:rsidTr="00440B5A">
        <w:tc>
          <w:tcPr>
            <w:tcW w:w="2375" w:type="dxa"/>
            <w:vAlign w:val="center"/>
          </w:tcPr>
          <w:p w14:paraId="195714C1" w14:textId="509048AB" w:rsidR="00440B5A" w:rsidRPr="00440B5A" w:rsidRDefault="00440B5A" w:rsidP="00440B5A">
            <w:pPr>
              <w:pStyle w:val="TableText"/>
            </w:pPr>
            <w:r w:rsidRPr="00440B5A">
              <w:t>NCM</w:t>
            </w:r>
          </w:p>
        </w:tc>
        <w:tc>
          <w:tcPr>
            <w:tcW w:w="5764" w:type="dxa"/>
            <w:vAlign w:val="center"/>
          </w:tcPr>
          <w:p w14:paraId="3CC3DCB2" w14:textId="4A40B9A3" w:rsidR="00440B5A" w:rsidRPr="00440B5A" w:rsidRDefault="00440B5A" w:rsidP="00440B5A">
            <w:pPr>
              <w:pStyle w:val="TableText"/>
            </w:pPr>
            <w:r w:rsidRPr="00440B5A">
              <w:t>Non Clearing Member</w:t>
            </w:r>
          </w:p>
        </w:tc>
      </w:tr>
      <w:tr w:rsidR="00440B5A" w14:paraId="2E5E9CBB" w14:textId="77777777" w:rsidTr="00440B5A">
        <w:tc>
          <w:tcPr>
            <w:tcW w:w="2375" w:type="dxa"/>
            <w:vAlign w:val="center"/>
          </w:tcPr>
          <w:p w14:paraId="3A3A8DD1" w14:textId="202C21DB" w:rsidR="00440B5A" w:rsidRPr="00440B5A" w:rsidRDefault="00440B5A" w:rsidP="00440B5A">
            <w:pPr>
              <w:pStyle w:val="TableText"/>
            </w:pPr>
            <w:r w:rsidRPr="00440B5A">
              <w:t>SMPG</w:t>
            </w:r>
          </w:p>
        </w:tc>
        <w:tc>
          <w:tcPr>
            <w:tcW w:w="5764" w:type="dxa"/>
            <w:vAlign w:val="center"/>
          </w:tcPr>
          <w:p w14:paraId="735F697C" w14:textId="581B8661" w:rsidR="00440B5A" w:rsidRPr="00440B5A" w:rsidRDefault="00440B5A" w:rsidP="00440B5A">
            <w:pPr>
              <w:pStyle w:val="TableText"/>
            </w:pPr>
            <w:r w:rsidRPr="00440B5A">
              <w:t>Securities Market Practice Group</w:t>
            </w:r>
          </w:p>
        </w:tc>
      </w:tr>
      <w:tr w:rsidR="00440B5A" w14:paraId="266F1968" w14:textId="77777777" w:rsidTr="00440B5A">
        <w:tc>
          <w:tcPr>
            <w:tcW w:w="2375" w:type="dxa"/>
            <w:vAlign w:val="center"/>
          </w:tcPr>
          <w:p w14:paraId="01790D05" w14:textId="32FF1D71" w:rsidR="00440B5A" w:rsidRPr="00440B5A" w:rsidRDefault="00440B5A" w:rsidP="00440B5A">
            <w:pPr>
              <w:pStyle w:val="TableText"/>
            </w:pPr>
            <w:r w:rsidRPr="00440B5A">
              <w:t>TDN</w:t>
            </w:r>
          </w:p>
        </w:tc>
        <w:tc>
          <w:tcPr>
            <w:tcW w:w="5764" w:type="dxa"/>
            <w:vAlign w:val="center"/>
          </w:tcPr>
          <w:p w14:paraId="1BF523E7" w14:textId="0019489A" w:rsidR="00440B5A" w:rsidRPr="00440B5A" w:rsidRDefault="00440B5A" w:rsidP="00440B5A">
            <w:pPr>
              <w:pStyle w:val="TableText"/>
            </w:pPr>
            <w:r w:rsidRPr="00440B5A">
              <w:t>Trade Date Netting</w:t>
            </w:r>
          </w:p>
        </w:tc>
      </w:tr>
    </w:tbl>
    <w:p w14:paraId="0CEC5588" w14:textId="77777777" w:rsidR="00526C98" w:rsidRDefault="000E53BB" w:rsidP="00A8050C">
      <w:pPr>
        <w:pStyle w:val="Heading2"/>
      </w:pPr>
      <w:bookmarkStart w:id="8" w:name="_Toc191756082"/>
      <w:bookmarkEnd w:id="7"/>
      <w:r w:rsidRPr="000E53BB">
        <w:lastRenderedPageBreak/>
        <w:t>Document Scope and Objectives</w:t>
      </w:r>
      <w:bookmarkEnd w:id="8"/>
    </w:p>
    <w:p w14:paraId="6199EBD7" w14:textId="77777777" w:rsidR="00E20C03" w:rsidRDefault="00E20C03" w:rsidP="0069044F">
      <w:r w:rsidRPr="001A46C4">
        <w:t xml:space="preserve">This document is the first part of the </w:t>
      </w:r>
      <w:r w:rsidR="0087680C">
        <w:t>Cash Management</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68F9821A" w14:textId="77777777" w:rsidR="00E20C03" w:rsidRDefault="00E20C03" w:rsidP="00E20C03">
      <w:r>
        <w:t>This document describes the following:</w:t>
      </w:r>
    </w:p>
    <w:p w14:paraId="470107F8" w14:textId="77777777" w:rsidR="00E20C03" w:rsidRDefault="002A331D" w:rsidP="00E20C03">
      <w:pPr>
        <w:pStyle w:val="ListBullet"/>
      </w:pPr>
      <w:r>
        <w:t>t</w:t>
      </w:r>
      <w:r w:rsidR="00E20C03">
        <w:t xml:space="preserve">he BusinessProcess scope </w:t>
      </w:r>
    </w:p>
    <w:p w14:paraId="0D9B9DD9" w14:textId="77777777" w:rsidR="00E20C03" w:rsidRDefault="002A331D" w:rsidP="00E20C03">
      <w:pPr>
        <w:pStyle w:val="ListBullet"/>
      </w:pPr>
      <w:r>
        <w:t>t</w:t>
      </w:r>
      <w:r w:rsidR="00E20C03">
        <w:t>he BusinessRoles involved in these BusinessProcesses</w:t>
      </w:r>
    </w:p>
    <w:p w14:paraId="26033EC3" w14:textId="77777777" w:rsidR="00E20C03" w:rsidRDefault="00E20C03" w:rsidP="00E20C03">
      <w:r>
        <w:t>The main objectives of this document are as follows:</w:t>
      </w:r>
    </w:p>
    <w:p w14:paraId="658B89C4"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3531169F" w14:textId="77777777" w:rsidR="00E20C03" w:rsidRDefault="002A331D" w:rsidP="00E20C03">
      <w:pPr>
        <w:pStyle w:val="ListBullet"/>
      </w:pPr>
      <w:r>
        <w:t>t</w:t>
      </w:r>
      <w:r w:rsidR="00E20C03">
        <w:t>o explain the BusinessProcesses and BusinessActivities these messages have addressed</w:t>
      </w:r>
    </w:p>
    <w:p w14:paraId="373D9340" w14:textId="77777777" w:rsidR="00E20C03" w:rsidRDefault="002A331D" w:rsidP="00E20C03">
      <w:pPr>
        <w:pStyle w:val="ListBullet"/>
      </w:pPr>
      <w:r>
        <w:t>t</w:t>
      </w:r>
      <w:r w:rsidR="00E20C03">
        <w:t>o give a high level description of BusinessProcesses and the associated BusinessRoles</w:t>
      </w:r>
    </w:p>
    <w:p w14:paraId="5046CEA6" w14:textId="77777777" w:rsidR="00E20C03" w:rsidRDefault="002A331D" w:rsidP="00E20C03">
      <w:pPr>
        <w:pStyle w:val="ListBullet"/>
      </w:pPr>
      <w:r>
        <w:t>t</w:t>
      </w:r>
      <w:r w:rsidR="00E20C03">
        <w:t>o doc</w:t>
      </w:r>
      <w:r w:rsidR="00C82AF8">
        <w:t>ument the BusinessTransactions</w:t>
      </w:r>
      <w:r w:rsidR="00E20C03">
        <w:t xml:space="preserve"> </w:t>
      </w:r>
    </w:p>
    <w:p w14:paraId="47728C52" w14:textId="77777777" w:rsidR="000E53BB" w:rsidRDefault="00E20C03" w:rsidP="00E632EE">
      <w:r w:rsidRPr="00E20C03">
        <w:t>The messages definitions are specified in Message Definition Report Part 2</w:t>
      </w:r>
      <w:r>
        <w:t>.</w:t>
      </w:r>
    </w:p>
    <w:p w14:paraId="107E13B6" w14:textId="77777777" w:rsidR="00397178" w:rsidRDefault="00397178" w:rsidP="00E632EE"/>
    <w:p w14:paraId="4FC6F280" w14:textId="77777777" w:rsidR="00B5372E" w:rsidRDefault="00B5372E" w:rsidP="00A8050C">
      <w:pPr>
        <w:pStyle w:val="Heading2"/>
      </w:pPr>
      <w:bookmarkStart w:id="9" w:name="_Toc191756083"/>
      <w:r>
        <w:t>References</w:t>
      </w:r>
      <w:bookmarkEnd w:id="9"/>
    </w:p>
    <w:tbl>
      <w:tblPr>
        <w:tblStyle w:val="TableShaded1stRow"/>
        <w:tblW w:w="0" w:type="auto"/>
        <w:tblLook w:val="04A0" w:firstRow="1" w:lastRow="0" w:firstColumn="1" w:lastColumn="0" w:noHBand="0" w:noVBand="1"/>
      </w:tblPr>
      <w:tblGrid>
        <w:gridCol w:w="4121"/>
        <w:gridCol w:w="1157"/>
        <w:gridCol w:w="1746"/>
        <w:gridCol w:w="1115"/>
      </w:tblGrid>
      <w:tr w:rsidR="0052733C" w14:paraId="1C31F85D" w14:textId="77777777" w:rsidTr="00925B08">
        <w:trPr>
          <w:cnfStyle w:val="100000000000" w:firstRow="1" w:lastRow="0" w:firstColumn="0" w:lastColumn="0" w:oddVBand="0" w:evenVBand="0" w:oddHBand="0" w:evenHBand="0" w:firstRowFirstColumn="0" w:firstRowLastColumn="0" w:lastRowFirstColumn="0" w:lastRowLastColumn="0"/>
        </w:trPr>
        <w:tc>
          <w:tcPr>
            <w:tcW w:w="4121" w:type="dxa"/>
          </w:tcPr>
          <w:p w14:paraId="1E51F9FC" w14:textId="77777777" w:rsidR="0052733C" w:rsidRPr="002D3B7B" w:rsidRDefault="0052733C" w:rsidP="00DD3851">
            <w:pPr>
              <w:pStyle w:val="TableHeading"/>
            </w:pPr>
            <w:r w:rsidRPr="002D3B7B">
              <w:t>Document</w:t>
            </w:r>
          </w:p>
        </w:tc>
        <w:tc>
          <w:tcPr>
            <w:tcW w:w="1157" w:type="dxa"/>
          </w:tcPr>
          <w:p w14:paraId="49EFF816" w14:textId="77777777" w:rsidR="0052733C" w:rsidRPr="002D3B7B" w:rsidRDefault="0052733C" w:rsidP="00DD3851">
            <w:pPr>
              <w:pStyle w:val="TableHeading"/>
            </w:pPr>
            <w:r w:rsidRPr="002D3B7B">
              <w:t>Version</w:t>
            </w:r>
          </w:p>
        </w:tc>
        <w:tc>
          <w:tcPr>
            <w:tcW w:w="1746" w:type="dxa"/>
          </w:tcPr>
          <w:p w14:paraId="160D3F08" w14:textId="77777777" w:rsidR="0052733C" w:rsidRPr="002D3B7B" w:rsidRDefault="0052733C" w:rsidP="00DD3851">
            <w:pPr>
              <w:pStyle w:val="TableHeading"/>
            </w:pPr>
            <w:r w:rsidRPr="002D3B7B">
              <w:t>Date</w:t>
            </w:r>
          </w:p>
        </w:tc>
        <w:tc>
          <w:tcPr>
            <w:tcW w:w="1115" w:type="dxa"/>
          </w:tcPr>
          <w:p w14:paraId="1537E3FC" w14:textId="77777777" w:rsidR="0052733C" w:rsidRPr="002D3B7B" w:rsidRDefault="0052733C" w:rsidP="00DD3851">
            <w:pPr>
              <w:pStyle w:val="TableHeading"/>
            </w:pPr>
            <w:r w:rsidRPr="002D3B7B">
              <w:t>Author</w:t>
            </w:r>
          </w:p>
        </w:tc>
      </w:tr>
      <w:tr w:rsidR="00440B5A" w14:paraId="779B8963" w14:textId="77777777" w:rsidTr="00032BF4">
        <w:tc>
          <w:tcPr>
            <w:tcW w:w="4121" w:type="dxa"/>
            <w:vAlign w:val="center"/>
          </w:tcPr>
          <w:p w14:paraId="4411DC01" w14:textId="5033A72D" w:rsidR="00440B5A" w:rsidRPr="00440B5A" w:rsidRDefault="00440B5A" w:rsidP="00440B5A">
            <w:pPr>
              <w:pStyle w:val="TableText"/>
            </w:pPr>
            <w:r w:rsidRPr="00440B5A">
              <w:t>ISO 20022 Business Justification – CCP Clearing</w:t>
            </w:r>
          </w:p>
        </w:tc>
        <w:tc>
          <w:tcPr>
            <w:tcW w:w="1157" w:type="dxa"/>
          </w:tcPr>
          <w:p w14:paraId="7C31F27E" w14:textId="07A2D231" w:rsidR="00440B5A" w:rsidRPr="00440B5A" w:rsidRDefault="00440B5A" w:rsidP="00440B5A">
            <w:pPr>
              <w:pStyle w:val="TableText"/>
            </w:pPr>
          </w:p>
        </w:tc>
        <w:tc>
          <w:tcPr>
            <w:tcW w:w="1746" w:type="dxa"/>
          </w:tcPr>
          <w:p w14:paraId="2330CDB4" w14:textId="3F36F0C4" w:rsidR="00440B5A" w:rsidRPr="00440B5A" w:rsidRDefault="00440B5A" w:rsidP="00440B5A">
            <w:pPr>
              <w:pStyle w:val="TableText"/>
            </w:pPr>
            <w:r w:rsidRPr="00440B5A">
              <w:t>2007-09-19</w:t>
            </w:r>
          </w:p>
        </w:tc>
        <w:tc>
          <w:tcPr>
            <w:tcW w:w="1115" w:type="dxa"/>
          </w:tcPr>
          <w:p w14:paraId="225024AB" w14:textId="5EF3D4F7" w:rsidR="00440B5A" w:rsidRPr="00440B5A" w:rsidRDefault="00440B5A" w:rsidP="00440B5A">
            <w:pPr>
              <w:pStyle w:val="TableText"/>
            </w:pPr>
            <w:r w:rsidRPr="00440B5A">
              <w:t>Swift</w:t>
            </w:r>
          </w:p>
        </w:tc>
      </w:tr>
      <w:tr w:rsidR="00440B5A" w14:paraId="0AC168BC" w14:textId="77777777" w:rsidTr="00925B08">
        <w:tc>
          <w:tcPr>
            <w:tcW w:w="4121" w:type="dxa"/>
          </w:tcPr>
          <w:p w14:paraId="24F28FEE" w14:textId="10CBB562" w:rsidR="00440B5A" w:rsidRPr="00440B5A" w:rsidRDefault="00440B5A" w:rsidP="00440B5A">
            <w:pPr>
              <w:pStyle w:val="TableText"/>
            </w:pPr>
            <w:r w:rsidRPr="00440B5A">
              <w:t>ISO 20022 CCP Securities Clearing Maintenance Change Request 2024/2025</w:t>
            </w:r>
          </w:p>
        </w:tc>
        <w:tc>
          <w:tcPr>
            <w:tcW w:w="1157" w:type="dxa"/>
          </w:tcPr>
          <w:p w14:paraId="088865C5" w14:textId="34A79084" w:rsidR="00440B5A" w:rsidRPr="00440B5A" w:rsidRDefault="00440B5A" w:rsidP="00440B5A">
            <w:pPr>
              <w:pStyle w:val="TableText"/>
            </w:pPr>
          </w:p>
        </w:tc>
        <w:tc>
          <w:tcPr>
            <w:tcW w:w="1746" w:type="dxa"/>
          </w:tcPr>
          <w:p w14:paraId="73B4F4E7" w14:textId="7FB7A418" w:rsidR="00440B5A" w:rsidRPr="00440B5A" w:rsidRDefault="00440B5A" w:rsidP="00440B5A">
            <w:pPr>
              <w:pStyle w:val="TableText"/>
            </w:pPr>
            <w:r w:rsidRPr="00440B5A">
              <w:t>September 2025</w:t>
            </w:r>
          </w:p>
        </w:tc>
        <w:tc>
          <w:tcPr>
            <w:tcW w:w="1115" w:type="dxa"/>
          </w:tcPr>
          <w:p w14:paraId="002446EB" w14:textId="5AEFA2FE" w:rsidR="00440B5A" w:rsidRPr="00440B5A" w:rsidRDefault="00440B5A" w:rsidP="00440B5A">
            <w:pPr>
              <w:pStyle w:val="TableText"/>
            </w:pPr>
            <w:r w:rsidRPr="00440B5A">
              <w:t>Swift</w:t>
            </w:r>
          </w:p>
        </w:tc>
      </w:tr>
      <w:tr w:rsidR="00440B5A" w14:paraId="66008FB8" w14:textId="77777777" w:rsidTr="00925B08">
        <w:tc>
          <w:tcPr>
            <w:tcW w:w="4121" w:type="dxa"/>
          </w:tcPr>
          <w:p w14:paraId="270E9A65" w14:textId="045D3D21" w:rsidR="00440B5A" w:rsidRPr="00440B5A" w:rsidRDefault="00440B5A" w:rsidP="00440B5A">
            <w:pPr>
              <w:pStyle w:val="TableText"/>
            </w:pPr>
          </w:p>
        </w:tc>
        <w:tc>
          <w:tcPr>
            <w:tcW w:w="1157" w:type="dxa"/>
          </w:tcPr>
          <w:p w14:paraId="7645CF5B" w14:textId="77D6BEA8" w:rsidR="00440B5A" w:rsidRPr="00440B5A" w:rsidRDefault="00440B5A" w:rsidP="00440B5A">
            <w:pPr>
              <w:pStyle w:val="TableText"/>
            </w:pPr>
          </w:p>
        </w:tc>
        <w:tc>
          <w:tcPr>
            <w:tcW w:w="1746" w:type="dxa"/>
          </w:tcPr>
          <w:p w14:paraId="6F30DEE0" w14:textId="64CF17F3" w:rsidR="00440B5A" w:rsidRPr="00440B5A" w:rsidRDefault="00440B5A" w:rsidP="00440B5A">
            <w:pPr>
              <w:pStyle w:val="TableText"/>
            </w:pPr>
          </w:p>
        </w:tc>
        <w:tc>
          <w:tcPr>
            <w:tcW w:w="1115" w:type="dxa"/>
          </w:tcPr>
          <w:p w14:paraId="40E32B4A" w14:textId="3DF46B8F" w:rsidR="00440B5A" w:rsidRPr="00440B5A" w:rsidRDefault="00440B5A" w:rsidP="00440B5A">
            <w:pPr>
              <w:pStyle w:val="TableText"/>
            </w:pPr>
          </w:p>
        </w:tc>
      </w:tr>
    </w:tbl>
    <w:p w14:paraId="7961F407" w14:textId="77777777" w:rsidR="00B5372E" w:rsidRDefault="00B5372E" w:rsidP="00A8050C">
      <w:pPr>
        <w:pStyle w:val="Heading1"/>
      </w:pPr>
      <w:bookmarkStart w:id="10" w:name="_Toc191756084"/>
      <w:r>
        <w:lastRenderedPageBreak/>
        <w:t>Scope and Functionality</w:t>
      </w:r>
      <w:bookmarkEnd w:id="10"/>
    </w:p>
    <w:p w14:paraId="3DDBB6D1" w14:textId="77777777" w:rsidR="00B5372E" w:rsidRDefault="00B5372E" w:rsidP="004D01EB">
      <w:pPr>
        <w:pStyle w:val="Heading2"/>
      </w:pPr>
      <w:bookmarkStart w:id="11" w:name="_Toc191756085"/>
      <w:r>
        <w:t>Background</w:t>
      </w:r>
      <w:bookmarkEnd w:id="11"/>
    </w:p>
    <w:p w14:paraId="7E813BF9" w14:textId="77777777" w:rsidR="00440B5A" w:rsidRPr="00440B5A" w:rsidRDefault="00440B5A" w:rsidP="00440B5A">
      <w:r w:rsidRPr="00440B5A">
        <w:t>This Message Definition Report covers a set of 10 MessageDefinitions developed by SWIFT in close collaboration with FPL and approved by the Securities Standards Evaluation Group (SEG) on 22 January 2015. All messages described in this document are ISO 20022 registered messages. These messages are specifically designed to support the communication flows between the central counterparties (CCPs) and general/individual clearing members (GCMs and ICMs) for fixed income and equity.</w:t>
      </w:r>
    </w:p>
    <w:p w14:paraId="3EE6C20F" w14:textId="77777777" w:rsidR="00440B5A" w:rsidRPr="00440B5A" w:rsidRDefault="00440B5A" w:rsidP="00440B5A">
      <w:r w:rsidRPr="00440B5A">
        <w:t xml:space="preserve">In 2001, the Giovannini Group’s main conclusion in its first report was that the EU financial market cannot be considered to be an integrated entity, but remains a juxtaposition of domestic markets. </w:t>
      </w:r>
    </w:p>
    <w:p w14:paraId="35AF8401" w14:textId="77777777" w:rsidR="00440B5A" w:rsidRPr="00440B5A" w:rsidRDefault="00440B5A" w:rsidP="00440B5A">
      <w:r w:rsidRPr="00440B5A">
        <w:t xml:space="preserve">In 2003, the Giovannini Group issued its second report on EU Clearing and Settlement Arrangements. This report aimed to address the question of what actions should be undertaken to eliminate the problems identified in the first report. The main conclusion was that a concerted removal of the 15 barriers identified in the first report was the essential ingredient to the reform of post-trading services in the EU. The barriers should be replaced by a set of technical standards, market conventions, rules, regulations and laws that are consistent with a barrier-free environment for the provision of post-trading services. </w:t>
      </w:r>
    </w:p>
    <w:p w14:paraId="2967E9F0" w14:textId="77777777" w:rsidR="00440B5A" w:rsidRPr="00440B5A" w:rsidRDefault="00440B5A" w:rsidP="00440B5A">
      <w:r w:rsidRPr="00440B5A">
        <w:t xml:space="preserve">At the end of 2006, SWIFT Standards conducted a gap analysis as part of its efforts to remove Giovannini barrier One </w:t>
      </w:r>
      <w:r w:rsidRPr="00440B5A">
        <w:rPr>
          <w:rStyle w:val="FootnoteReference"/>
        </w:rPr>
        <w:footnoteReference w:id="1"/>
      </w:r>
      <w:r w:rsidRPr="00440B5A">
        <w:t xml:space="preserve">for fixed income and equities. This analysis was specific to central counterparties and their communication with clearing members. Feedback indicated that, in the majority of cases, settlement processes are covered by the existing ISO standards and the main gaps in ISO messaging are in clearing. </w:t>
      </w:r>
    </w:p>
    <w:p w14:paraId="12867249" w14:textId="77777777" w:rsidR="00440B5A" w:rsidRPr="00440B5A" w:rsidRDefault="00440B5A" w:rsidP="00440B5A">
      <w:r w:rsidRPr="00440B5A">
        <w:t>In the meantime, the Futures Industry Association and the Futures and Options Association committed to improving the efficiency of post-trade processing for exchange-traded derivatives. FIA/FOA created a Global Standards Working Group that was committed to define a new standard that would address Giovannini Barrier One and benefit listed derivatives market participants around the world.</w:t>
      </w:r>
    </w:p>
    <w:p w14:paraId="4ADB02AE" w14:textId="77777777" w:rsidR="00440B5A" w:rsidRPr="00440B5A" w:rsidRDefault="00440B5A" w:rsidP="00440B5A">
      <w:r w:rsidRPr="00440B5A">
        <w:t xml:space="preserve">On its side, SWIFT was largely looking at improving its coverage in both the trade and post-trade spaces by a series of projects that addressed trade matching, central clearing and collateral management. The three projects, part of SWIFT’s post-trade programme, aimed to integrate disparate processes into the common business model of ISO 20022, allowing terminology to be shared and re-used from the pre-trade space through to settlement and reconciliation. </w:t>
      </w:r>
    </w:p>
    <w:p w14:paraId="4F02B4D6" w14:textId="77777777" w:rsidR="00440B5A" w:rsidRPr="00440B5A" w:rsidRDefault="00440B5A" w:rsidP="00440B5A"/>
    <w:p w14:paraId="35E05799" w14:textId="77777777" w:rsidR="00440B5A" w:rsidRPr="00440B5A" w:rsidRDefault="00440B5A" w:rsidP="00440B5A">
      <w:r w:rsidRPr="00440B5A">
        <w:t xml:space="preserve">The purpose of the program was the development of a business model covering the full scope of post-trade processing from trade notification through confirmation/affirmation. The program also included securities clearing and collateral management. </w:t>
      </w:r>
    </w:p>
    <w:p w14:paraId="7A8D6AF6" w14:textId="77777777" w:rsidR="00440B5A" w:rsidRPr="00440B5A" w:rsidRDefault="00440B5A" w:rsidP="00440B5A">
      <w:r w:rsidRPr="00440B5A">
        <w:t xml:space="preserve">With these objectives in mind, SWIFT organised a meeting in Paris with representatives of LCH Clearnet SA, BNP Paribas and Parel (Société Générale) on the 4th December 2008. The intent of the meeting was to gather feedback from experts on the SWIFT initiative of designing ISO 20022 standard messages to cover clearing and collateral management activities. </w:t>
      </w:r>
    </w:p>
    <w:p w14:paraId="1E4D4C2A" w14:textId="77777777" w:rsidR="00440B5A" w:rsidRPr="00440B5A" w:rsidRDefault="00440B5A" w:rsidP="00440B5A">
      <w:r w:rsidRPr="00440B5A">
        <w:t xml:space="preserve">The findings have resulted in the creation of a working group to discuss and agree on the requirements for ISO 20022 messages for clearing. </w:t>
      </w:r>
    </w:p>
    <w:p w14:paraId="1697D6FC" w14:textId="7ED99242" w:rsidR="00936F11" w:rsidRPr="00F84EE5" w:rsidRDefault="00936F11" w:rsidP="00FD4D04"/>
    <w:p w14:paraId="5A1F47C1" w14:textId="77777777" w:rsidR="00B5372E" w:rsidRDefault="00B5372E" w:rsidP="004D01EB">
      <w:pPr>
        <w:pStyle w:val="Heading2"/>
      </w:pPr>
      <w:bookmarkStart w:id="12" w:name="_Toc191756086"/>
      <w:r>
        <w:lastRenderedPageBreak/>
        <w:t>Scope</w:t>
      </w:r>
      <w:bookmarkEnd w:id="12"/>
    </w:p>
    <w:p w14:paraId="587D9447" w14:textId="77777777" w:rsidR="003E6925" w:rsidRPr="003E6925" w:rsidRDefault="003E6925" w:rsidP="003E6925">
      <w:r w:rsidRPr="003E6925">
        <w:t xml:space="preserve">Clearing generally refers to the processes that happen after a trade is matched until its submission to settlement, and comprises various actions such as “novation”, netting and risk management (in particular, making use of collateral). </w:t>
      </w:r>
    </w:p>
    <w:p w14:paraId="64AE3EA2" w14:textId="77777777" w:rsidR="003E6925" w:rsidRPr="003E6925" w:rsidRDefault="003E6925" w:rsidP="003E6925">
      <w:r w:rsidRPr="003E6925">
        <w:t xml:space="preserve">The scope of central counterparties clearing is broad and SWIFT did not anticipate delivering the entire solution in one phase. Instead, SWIFT initially focused on the communication flows between the central counterparties (CCPs) and general/individual clearing members (GCMs and ICMs) for fixed income and equity. </w:t>
      </w:r>
    </w:p>
    <w:p w14:paraId="0BA5BAB3" w14:textId="77777777" w:rsidR="003E6925" w:rsidRPr="003E6925" w:rsidRDefault="003E6925" w:rsidP="003E6925">
      <w:r w:rsidRPr="003E6925">
        <w:t>The scope of this Message Definition Report (MDR) covers the description of new ISO 20022 messages specific to the securities clearing business area for fixed income and equity. However, existing messages from other business areas (such as settlement management, collateral management or cash management) may be mentioned if required for the sake of completeness.</w:t>
      </w:r>
    </w:p>
    <w:p w14:paraId="6FF82371" w14:textId="77777777" w:rsidR="003E6925" w:rsidRDefault="003E6925" w:rsidP="003E6925">
      <w:r w:rsidRPr="003E6925">
        <w:t>The scope of this MDR does not include Non Clearing Members communication, or derivative specific processes (this may be part of a next phase).</w:t>
      </w:r>
    </w:p>
    <w:p w14:paraId="32134627" w14:textId="77777777" w:rsidR="003E6925" w:rsidRDefault="003E6925" w:rsidP="003E6925">
      <w:pPr>
        <w:pStyle w:val="Heading2"/>
      </w:pPr>
      <w:bookmarkStart w:id="13" w:name="_Toc412636864"/>
      <w:bookmarkStart w:id="14" w:name="_Toc191756087"/>
      <w:r w:rsidRPr="00631CFA">
        <w:t xml:space="preserve">Groups of </w:t>
      </w:r>
      <w:r w:rsidRPr="003E6925">
        <w:t xml:space="preserve">MessageDefinitions </w:t>
      </w:r>
      <w:r w:rsidRPr="00631CFA">
        <w:t>and Functionality</w:t>
      </w:r>
      <w:bookmarkEnd w:id="13"/>
      <w:bookmarkEnd w:id="14"/>
    </w:p>
    <w:p w14:paraId="2877149F" w14:textId="7E0E3C7E" w:rsidR="003E6925" w:rsidRPr="003E6925" w:rsidRDefault="003E6925" w:rsidP="003E6925">
      <w:r w:rsidRPr="003E6925">
        <w:t xml:space="preserve">Note that these MessageDefinitions are to be used with the ISO 20022 Business Application Header (head.001). The schema and more information about the Business Application Header (BAH) can be found on the </w:t>
      </w:r>
      <w:hyperlink r:id="rId19" w:history="1">
        <w:r w:rsidRPr="003E6925">
          <w:rPr>
            <w:rStyle w:val="Hyperlink"/>
          </w:rPr>
          <w:t>www.iso20022.org</w:t>
        </w:r>
      </w:hyperlink>
      <w:r w:rsidRPr="003E6925">
        <w:t xml:space="preserve"> web site </w:t>
      </w:r>
    </w:p>
    <w:p w14:paraId="2B3308AE" w14:textId="77777777" w:rsidR="003E6925" w:rsidRPr="00631CFA" w:rsidRDefault="003E6925" w:rsidP="003E6925">
      <w:pPr>
        <w:pStyle w:val="Heading3"/>
      </w:pPr>
      <w:bookmarkStart w:id="15" w:name="_Toc355789190"/>
      <w:bookmarkStart w:id="16" w:name="_Toc412636865"/>
      <w:r>
        <w:t>Groups</w:t>
      </w:r>
      <w:bookmarkEnd w:id="15"/>
      <w:bookmarkEnd w:id="16"/>
    </w:p>
    <w:p w14:paraId="6AFC027C" w14:textId="77777777" w:rsidR="003E6925" w:rsidRPr="00631CFA" w:rsidRDefault="003E6925" w:rsidP="003E6925">
      <w:pPr>
        <w:pStyle w:val="Heading4"/>
      </w:pPr>
      <w:r>
        <w:t>Trade Leg Messages</w:t>
      </w:r>
    </w:p>
    <w:tbl>
      <w:tblPr>
        <w:tblStyle w:val="TableGrid"/>
        <w:tblW w:w="0" w:type="auto"/>
        <w:tblLook w:val="04A0" w:firstRow="1" w:lastRow="0" w:firstColumn="1" w:lastColumn="0" w:noHBand="0" w:noVBand="1"/>
      </w:tblPr>
      <w:tblGrid>
        <w:gridCol w:w="6152"/>
        <w:gridCol w:w="2005"/>
      </w:tblGrid>
      <w:tr w:rsidR="003E6925" w:rsidRPr="00631CFA" w14:paraId="5E2C6EB5" w14:textId="77777777" w:rsidTr="00A84E7C">
        <w:tc>
          <w:tcPr>
            <w:tcW w:w="7038" w:type="dxa"/>
            <w:shd w:val="clear" w:color="auto" w:fill="D9D9D9" w:themeFill="background1" w:themeFillShade="D9"/>
          </w:tcPr>
          <w:p w14:paraId="60F82C68" w14:textId="77777777" w:rsidR="003E6925" w:rsidRPr="003E6925" w:rsidRDefault="003E6925" w:rsidP="003E6925">
            <w:r w:rsidRPr="003E6925">
              <w:t>Message Name</w:t>
            </w:r>
          </w:p>
        </w:tc>
        <w:tc>
          <w:tcPr>
            <w:tcW w:w="2160" w:type="dxa"/>
            <w:shd w:val="clear" w:color="auto" w:fill="D9D9D9" w:themeFill="background1" w:themeFillShade="D9"/>
          </w:tcPr>
          <w:p w14:paraId="2BCC7836" w14:textId="77777777" w:rsidR="003E6925" w:rsidRPr="003E6925" w:rsidRDefault="003E6925" w:rsidP="003E6925">
            <w:r w:rsidRPr="003E6925">
              <w:t>Message Identifier</w:t>
            </w:r>
          </w:p>
        </w:tc>
      </w:tr>
      <w:tr w:rsidR="003E6925" w:rsidRPr="00631CFA" w14:paraId="26727A80" w14:textId="77777777" w:rsidTr="00A84E7C">
        <w:tc>
          <w:tcPr>
            <w:tcW w:w="7038" w:type="dxa"/>
          </w:tcPr>
          <w:p w14:paraId="699FED58" w14:textId="77777777" w:rsidR="003E6925" w:rsidRPr="003E6925" w:rsidRDefault="003E6925" w:rsidP="003E6925">
            <w:r w:rsidRPr="003E6925">
              <w:t>TradeLegNotificationV03</w:t>
            </w:r>
          </w:p>
        </w:tc>
        <w:tc>
          <w:tcPr>
            <w:tcW w:w="2160" w:type="dxa"/>
            <w:vAlign w:val="bottom"/>
          </w:tcPr>
          <w:p w14:paraId="37612FC5" w14:textId="77777777" w:rsidR="003E6925" w:rsidRPr="003E6925" w:rsidRDefault="003E6925" w:rsidP="003E6925">
            <w:r w:rsidRPr="003E6925">
              <w:t>secl.001.001.04</w:t>
            </w:r>
          </w:p>
        </w:tc>
      </w:tr>
      <w:tr w:rsidR="003E6925" w:rsidRPr="00631CFA" w14:paraId="0FB48D89" w14:textId="77777777" w:rsidTr="00A84E7C">
        <w:tc>
          <w:tcPr>
            <w:tcW w:w="7038" w:type="dxa"/>
          </w:tcPr>
          <w:p w14:paraId="10D2437D" w14:textId="77777777" w:rsidR="003E6925" w:rsidRPr="003E6925" w:rsidRDefault="003E6925" w:rsidP="003E6925">
            <w:r w:rsidRPr="003E6925">
              <w:t>TradeLegNotificationCancellationV03</w:t>
            </w:r>
          </w:p>
        </w:tc>
        <w:tc>
          <w:tcPr>
            <w:tcW w:w="2160" w:type="dxa"/>
            <w:vAlign w:val="bottom"/>
          </w:tcPr>
          <w:p w14:paraId="6D73D4B8" w14:textId="77777777" w:rsidR="003E6925" w:rsidRPr="003E6925" w:rsidRDefault="003E6925" w:rsidP="003E6925">
            <w:r w:rsidRPr="003E6925">
              <w:t>secl.002.001.04</w:t>
            </w:r>
          </w:p>
        </w:tc>
      </w:tr>
      <w:tr w:rsidR="003E6925" w:rsidRPr="00631CFA" w14:paraId="26BDC516" w14:textId="77777777" w:rsidTr="00A84E7C">
        <w:tc>
          <w:tcPr>
            <w:tcW w:w="7038" w:type="dxa"/>
          </w:tcPr>
          <w:p w14:paraId="1CA66975" w14:textId="77777777" w:rsidR="003E6925" w:rsidRPr="003E6925" w:rsidRDefault="003E6925" w:rsidP="003E6925">
            <w:r w:rsidRPr="003E6925">
              <w:t>TradeLegStatementV03</w:t>
            </w:r>
          </w:p>
        </w:tc>
        <w:tc>
          <w:tcPr>
            <w:tcW w:w="2160" w:type="dxa"/>
            <w:vAlign w:val="bottom"/>
          </w:tcPr>
          <w:p w14:paraId="3728792F" w14:textId="77777777" w:rsidR="003E6925" w:rsidRPr="003E6925" w:rsidRDefault="003E6925" w:rsidP="003E6925">
            <w:r w:rsidRPr="003E6925">
              <w:t xml:space="preserve">secl.003.001.04  </w:t>
            </w:r>
          </w:p>
        </w:tc>
      </w:tr>
    </w:tbl>
    <w:p w14:paraId="593E9BA2" w14:textId="77777777" w:rsidR="003E6925" w:rsidRPr="00631CFA" w:rsidRDefault="003E6925" w:rsidP="003E6925">
      <w:pPr>
        <w:pStyle w:val="Heading4"/>
      </w:pPr>
      <w:bookmarkStart w:id="17" w:name="_Toc355789191"/>
      <w:r>
        <w:t>Net Position</w:t>
      </w:r>
      <w:r w:rsidRPr="00631CFA">
        <w:t xml:space="preserve"> Message</w:t>
      </w:r>
      <w:bookmarkEnd w:id="17"/>
    </w:p>
    <w:tbl>
      <w:tblPr>
        <w:tblStyle w:val="TableGrid"/>
        <w:tblW w:w="0" w:type="auto"/>
        <w:tblLook w:val="04A0" w:firstRow="1" w:lastRow="0" w:firstColumn="1" w:lastColumn="0" w:noHBand="0" w:noVBand="1"/>
      </w:tblPr>
      <w:tblGrid>
        <w:gridCol w:w="6109"/>
        <w:gridCol w:w="2048"/>
      </w:tblGrid>
      <w:tr w:rsidR="003E6925" w:rsidRPr="00631CFA" w14:paraId="13967C29" w14:textId="77777777" w:rsidTr="00A84E7C">
        <w:tc>
          <w:tcPr>
            <w:tcW w:w="7038" w:type="dxa"/>
            <w:shd w:val="clear" w:color="auto" w:fill="D9D9D9" w:themeFill="background1" w:themeFillShade="D9"/>
          </w:tcPr>
          <w:p w14:paraId="51E569FF" w14:textId="77777777" w:rsidR="003E6925" w:rsidRPr="003E6925" w:rsidRDefault="003E6925" w:rsidP="003E6925">
            <w:r w:rsidRPr="003E6925">
              <w:t>Message Name</w:t>
            </w:r>
          </w:p>
        </w:tc>
        <w:tc>
          <w:tcPr>
            <w:tcW w:w="2160" w:type="dxa"/>
            <w:shd w:val="clear" w:color="auto" w:fill="D9D9D9" w:themeFill="background1" w:themeFillShade="D9"/>
          </w:tcPr>
          <w:p w14:paraId="692034CD" w14:textId="77777777" w:rsidR="003E6925" w:rsidRPr="003E6925" w:rsidRDefault="003E6925" w:rsidP="003E6925">
            <w:r w:rsidRPr="003E6925">
              <w:t>Message Identifier</w:t>
            </w:r>
          </w:p>
        </w:tc>
      </w:tr>
      <w:tr w:rsidR="003E6925" w:rsidRPr="00631CFA" w14:paraId="09BC7AFB" w14:textId="77777777" w:rsidTr="00A84E7C">
        <w:tc>
          <w:tcPr>
            <w:tcW w:w="7038" w:type="dxa"/>
          </w:tcPr>
          <w:p w14:paraId="0F25E2A6" w14:textId="77777777" w:rsidR="003E6925" w:rsidRPr="003E6925" w:rsidRDefault="003E6925" w:rsidP="003E6925">
            <w:r w:rsidRPr="003E6925">
              <w:t>NetPositionV03</w:t>
            </w:r>
          </w:p>
        </w:tc>
        <w:tc>
          <w:tcPr>
            <w:tcW w:w="2160" w:type="dxa"/>
          </w:tcPr>
          <w:p w14:paraId="3B74C529" w14:textId="77777777" w:rsidR="003E6925" w:rsidRPr="003E6925" w:rsidRDefault="003E6925" w:rsidP="003E6925">
            <w:r w:rsidRPr="003E6925">
              <w:t>secl.004.001.04</w:t>
            </w:r>
          </w:p>
        </w:tc>
      </w:tr>
    </w:tbl>
    <w:p w14:paraId="1EC6B4CB" w14:textId="77777777" w:rsidR="003E6925" w:rsidRPr="00631CFA" w:rsidRDefault="003E6925" w:rsidP="003E6925">
      <w:pPr>
        <w:pStyle w:val="Heading4"/>
      </w:pPr>
      <w:r>
        <w:t xml:space="preserve">Margin Report </w:t>
      </w:r>
      <w:r w:rsidRPr="00631CFA">
        <w:t>Message</w:t>
      </w:r>
    </w:p>
    <w:tbl>
      <w:tblPr>
        <w:tblStyle w:val="TableGrid"/>
        <w:tblW w:w="0" w:type="auto"/>
        <w:tblLook w:val="04A0" w:firstRow="1" w:lastRow="0" w:firstColumn="1" w:lastColumn="0" w:noHBand="0" w:noVBand="1"/>
      </w:tblPr>
      <w:tblGrid>
        <w:gridCol w:w="6112"/>
        <w:gridCol w:w="2045"/>
      </w:tblGrid>
      <w:tr w:rsidR="003E6925" w:rsidRPr="00631CFA" w14:paraId="3A9141F9" w14:textId="77777777" w:rsidTr="00A84E7C">
        <w:tc>
          <w:tcPr>
            <w:tcW w:w="7038" w:type="dxa"/>
            <w:shd w:val="clear" w:color="auto" w:fill="D9D9D9" w:themeFill="background1" w:themeFillShade="D9"/>
          </w:tcPr>
          <w:p w14:paraId="48129FC5" w14:textId="77777777" w:rsidR="003E6925" w:rsidRPr="003E6925" w:rsidRDefault="003E6925" w:rsidP="003E6925">
            <w:r w:rsidRPr="003E6925">
              <w:t>Message Name</w:t>
            </w:r>
          </w:p>
        </w:tc>
        <w:tc>
          <w:tcPr>
            <w:tcW w:w="2160" w:type="dxa"/>
            <w:shd w:val="clear" w:color="auto" w:fill="D9D9D9" w:themeFill="background1" w:themeFillShade="D9"/>
          </w:tcPr>
          <w:p w14:paraId="0D88221C" w14:textId="77777777" w:rsidR="003E6925" w:rsidRPr="003E6925" w:rsidRDefault="003E6925" w:rsidP="003E6925">
            <w:r w:rsidRPr="003E6925">
              <w:t>Message Identifier</w:t>
            </w:r>
          </w:p>
        </w:tc>
      </w:tr>
      <w:tr w:rsidR="003E6925" w:rsidRPr="00631CFA" w14:paraId="18CCE021" w14:textId="77777777" w:rsidTr="00A84E7C">
        <w:tc>
          <w:tcPr>
            <w:tcW w:w="7038" w:type="dxa"/>
          </w:tcPr>
          <w:p w14:paraId="719CB0F7" w14:textId="77777777" w:rsidR="003E6925" w:rsidRPr="003E6925" w:rsidRDefault="003E6925" w:rsidP="003E6925">
            <w:r w:rsidRPr="003E6925">
              <w:t>MarginReportV02</w:t>
            </w:r>
          </w:p>
        </w:tc>
        <w:tc>
          <w:tcPr>
            <w:tcW w:w="2160" w:type="dxa"/>
          </w:tcPr>
          <w:p w14:paraId="233DE6D3" w14:textId="77777777" w:rsidR="003E6925" w:rsidRPr="003E6925" w:rsidRDefault="003E6925" w:rsidP="003E6925">
            <w:r w:rsidRPr="005569D3">
              <w:t>secl.005.001.02</w:t>
            </w:r>
          </w:p>
        </w:tc>
      </w:tr>
    </w:tbl>
    <w:p w14:paraId="06BF23AA" w14:textId="77777777" w:rsidR="003E6925" w:rsidRPr="00631CFA" w:rsidRDefault="003E6925" w:rsidP="003E6925">
      <w:pPr>
        <w:pStyle w:val="Heading4"/>
      </w:pPr>
      <w:r>
        <w:t>Default Fund Contribution Report Message</w:t>
      </w:r>
    </w:p>
    <w:tbl>
      <w:tblPr>
        <w:tblStyle w:val="TableGrid"/>
        <w:tblW w:w="0" w:type="auto"/>
        <w:tblLook w:val="04A0" w:firstRow="1" w:lastRow="0" w:firstColumn="1" w:lastColumn="0" w:noHBand="0" w:noVBand="1"/>
      </w:tblPr>
      <w:tblGrid>
        <w:gridCol w:w="6147"/>
        <w:gridCol w:w="2010"/>
      </w:tblGrid>
      <w:tr w:rsidR="003E6925" w:rsidRPr="00631CFA" w14:paraId="7A6490A3" w14:textId="77777777" w:rsidTr="00A84E7C">
        <w:tc>
          <w:tcPr>
            <w:tcW w:w="7038" w:type="dxa"/>
            <w:shd w:val="clear" w:color="auto" w:fill="D9D9D9" w:themeFill="background1" w:themeFillShade="D9"/>
          </w:tcPr>
          <w:p w14:paraId="6DC7E3C8" w14:textId="77777777" w:rsidR="003E6925" w:rsidRPr="003E6925" w:rsidRDefault="003E6925" w:rsidP="003E6925">
            <w:r w:rsidRPr="003E6925">
              <w:t>Message Name</w:t>
            </w:r>
          </w:p>
        </w:tc>
        <w:tc>
          <w:tcPr>
            <w:tcW w:w="2160" w:type="dxa"/>
            <w:shd w:val="clear" w:color="auto" w:fill="D9D9D9" w:themeFill="background1" w:themeFillShade="D9"/>
          </w:tcPr>
          <w:p w14:paraId="287A643F" w14:textId="77777777" w:rsidR="003E6925" w:rsidRPr="003E6925" w:rsidRDefault="003E6925" w:rsidP="003E6925">
            <w:r w:rsidRPr="003E6925">
              <w:t>Message Identifier</w:t>
            </w:r>
          </w:p>
        </w:tc>
      </w:tr>
      <w:tr w:rsidR="003E6925" w:rsidRPr="00631CFA" w14:paraId="756E7EED" w14:textId="77777777" w:rsidTr="00A84E7C">
        <w:tc>
          <w:tcPr>
            <w:tcW w:w="7038" w:type="dxa"/>
          </w:tcPr>
          <w:p w14:paraId="7F0DAF8D" w14:textId="77777777" w:rsidR="003E6925" w:rsidRPr="003E6925" w:rsidRDefault="003E6925" w:rsidP="003E6925">
            <w:r w:rsidRPr="003E6925">
              <w:t>DefaultFundContributionReportV02</w:t>
            </w:r>
          </w:p>
        </w:tc>
        <w:tc>
          <w:tcPr>
            <w:tcW w:w="2160" w:type="dxa"/>
            <w:vAlign w:val="bottom"/>
          </w:tcPr>
          <w:p w14:paraId="4B14BB9E" w14:textId="77777777" w:rsidR="003E6925" w:rsidRPr="003E6925" w:rsidRDefault="003E6925" w:rsidP="003E6925">
            <w:r w:rsidRPr="003E6925">
              <w:t>secl.006.001.02</w:t>
            </w:r>
          </w:p>
        </w:tc>
      </w:tr>
    </w:tbl>
    <w:p w14:paraId="2B0844D5" w14:textId="77777777" w:rsidR="003E6925" w:rsidRPr="00631CFA" w:rsidRDefault="003E6925" w:rsidP="003E6925">
      <w:pPr>
        <w:pStyle w:val="Heading4"/>
      </w:pPr>
      <w:r>
        <w:lastRenderedPageBreak/>
        <w:t>Buy-In Messages</w:t>
      </w:r>
    </w:p>
    <w:tbl>
      <w:tblPr>
        <w:tblStyle w:val="TableGrid"/>
        <w:tblW w:w="0" w:type="auto"/>
        <w:tblLook w:val="04A0" w:firstRow="1" w:lastRow="0" w:firstColumn="1" w:lastColumn="0" w:noHBand="0" w:noVBand="1"/>
      </w:tblPr>
      <w:tblGrid>
        <w:gridCol w:w="6120"/>
        <w:gridCol w:w="2037"/>
      </w:tblGrid>
      <w:tr w:rsidR="003E6925" w:rsidRPr="00631CFA" w14:paraId="6CA3CC3B" w14:textId="77777777" w:rsidTr="00A84E7C">
        <w:tc>
          <w:tcPr>
            <w:tcW w:w="7038" w:type="dxa"/>
            <w:shd w:val="clear" w:color="auto" w:fill="D9D9D9" w:themeFill="background1" w:themeFillShade="D9"/>
          </w:tcPr>
          <w:p w14:paraId="7745673B" w14:textId="77777777" w:rsidR="003E6925" w:rsidRPr="003E6925" w:rsidRDefault="003E6925" w:rsidP="003E6925">
            <w:r w:rsidRPr="003E6925">
              <w:t>Message Name</w:t>
            </w:r>
          </w:p>
        </w:tc>
        <w:tc>
          <w:tcPr>
            <w:tcW w:w="2160" w:type="dxa"/>
            <w:shd w:val="clear" w:color="auto" w:fill="D9D9D9" w:themeFill="background1" w:themeFillShade="D9"/>
          </w:tcPr>
          <w:p w14:paraId="3C964A0E" w14:textId="77777777" w:rsidR="003E6925" w:rsidRPr="003E6925" w:rsidRDefault="003E6925" w:rsidP="003E6925">
            <w:r w:rsidRPr="003E6925">
              <w:t>Message Identifier</w:t>
            </w:r>
          </w:p>
        </w:tc>
      </w:tr>
      <w:tr w:rsidR="003E6925" w:rsidRPr="00631CFA" w14:paraId="1081F474" w14:textId="77777777" w:rsidTr="00A84E7C">
        <w:tc>
          <w:tcPr>
            <w:tcW w:w="7038" w:type="dxa"/>
          </w:tcPr>
          <w:p w14:paraId="62DEE8C5" w14:textId="77777777" w:rsidR="003E6925" w:rsidRPr="003E6925" w:rsidRDefault="003E6925" w:rsidP="003E6925">
            <w:r w:rsidRPr="005569D3">
              <w:t xml:space="preserve">BuyInNotificationV03 </w:t>
            </w:r>
          </w:p>
        </w:tc>
        <w:tc>
          <w:tcPr>
            <w:tcW w:w="2160" w:type="dxa"/>
            <w:vAlign w:val="bottom"/>
          </w:tcPr>
          <w:p w14:paraId="1C94B8CB" w14:textId="77777777" w:rsidR="003E6925" w:rsidRPr="003E6925" w:rsidRDefault="003E6925" w:rsidP="003E6925">
            <w:r w:rsidRPr="005569D3">
              <w:t>secl.007.001.03</w:t>
            </w:r>
          </w:p>
        </w:tc>
      </w:tr>
      <w:tr w:rsidR="003E6925" w:rsidRPr="00631CFA" w14:paraId="27CF0036" w14:textId="77777777" w:rsidTr="00A84E7C">
        <w:tc>
          <w:tcPr>
            <w:tcW w:w="7038" w:type="dxa"/>
          </w:tcPr>
          <w:p w14:paraId="648BBC29" w14:textId="77777777" w:rsidR="003E6925" w:rsidRPr="003E6925" w:rsidRDefault="003E6925" w:rsidP="003E6925">
            <w:r w:rsidRPr="003E6925">
              <w:t>BuyInResponseV03</w:t>
            </w:r>
          </w:p>
        </w:tc>
        <w:tc>
          <w:tcPr>
            <w:tcW w:w="2160" w:type="dxa"/>
            <w:vAlign w:val="bottom"/>
          </w:tcPr>
          <w:p w14:paraId="5FBE6FAC" w14:textId="77777777" w:rsidR="003E6925" w:rsidRPr="003E6925" w:rsidRDefault="003E6925" w:rsidP="003E6925">
            <w:r w:rsidRPr="003E6925">
              <w:t>secl.008.001.03</w:t>
            </w:r>
          </w:p>
        </w:tc>
      </w:tr>
      <w:tr w:rsidR="003E6925" w:rsidRPr="00631CFA" w14:paraId="73FFB718" w14:textId="77777777" w:rsidTr="00A84E7C">
        <w:tc>
          <w:tcPr>
            <w:tcW w:w="7038" w:type="dxa"/>
          </w:tcPr>
          <w:p w14:paraId="4B47F294" w14:textId="77777777" w:rsidR="003E6925" w:rsidRPr="003E6925" w:rsidRDefault="003E6925" w:rsidP="003E6925">
            <w:r w:rsidRPr="003E6925">
              <w:t>BuyInConfirmationV03</w:t>
            </w:r>
          </w:p>
        </w:tc>
        <w:tc>
          <w:tcPr>
            <w:tcW w:w="2160" w:type="dxa"/>
            <w:vAlign w:val="bottom"/>
          </w:tcPr>
          <w:p w14:paraId="2232053D" w14:textId="77777777" w:rsidR="003E6925" w:rsidRPr="003E6925" w:rsidRDefault="003E6925" w:rsidP="003E6925">
            <w:r w:rsidRPr="003E6925">
              <w:t>secl.009.001.03</w:t>
            </w:r>
          </w:p>
        </w:tc>
      </w:tr>
    </w:tbl>
    <w:p w14:paraId="34200DEE" w14:textId="77777777" w:rsidR="003E6925" w:rsidRPr="00631CFA" w:rsidRDefault="003E6925" w:rsidP="003E6925">
      <w:pPr>
        <w:pStyle w:val="Heading4"/>
      </w:pPr>
      <w:r>
        <w:t>Settlement Obligation Message</w:t>
      </w:r>
    </w:p>
    <w:tbl>
      <w:tblPr>
        <w:tblStyle w:val="TableGrid"/>
        <w:tblW w:w="0" w:type="auto"/>
        <w:tblLook w:val="04A0" w:firstRow="1" w:lastRow="0" w:firstColumn="1" w:lastColumn="0" w:noHBand="0" w:noVBand="1"/>
      </w:tblPr>
      <w:tblGrid>
        <w:gridCol w:w="6138"/>
        <w:gridCol w:w="2019"/>
      </w:tblGrid>
      <w:tr w:rsidR="003E6925" w:rsidRPr="00631CFA" w14:paraId="4C4F58E1" w14:textId="77777777" w:rsidTr="00A84E7C">
        <w:tc>
          <w:tcPr>
            <w:tcW w:w="7038" w:type="dxa"/>
            <w:shd w:val="clear" w:color="auto" w:fill="D9D9D9" w:themeFill="background1" w:themeFillShade="D9"/>
          </w:tcPr>
          <w:p w14:paraId="4CC320D4" w14:textId="77777777" w:rsidR="003E6925" w:rsidRPr="003E6925" w:rsidRDefault="003E6925" w:rsidP="003E6925">
            <w:r w:rsidRPr="003E6925">
              <w:t>Message Name</w:t>
            </w:r>
          </w:p>
        </w:tc>
        <w:tc>
          <w:tcPr>
            <w:tcW w:w="2160" w:type="dxa"/>
            <w:shd w:val="clear" w:color="auto" w:fill="D9D9D9" w:themeFill="background1" w:themeFillShade="D9"/>
          </w:tcPr>
          <w:p w14:paraId="74CF35C9" w14:textId="77777777" w:rsidR="003E6925" w:rsidRPr="003E6925" w:rsidRDefault="003E6925" w:rsidP="003E6925">
            <w:r w:rsidRPr="003E6925">
              <w:t>Message Identifier</w:t>
            </w:r>
          </w:p>
        </w:tc>
      </w:tr>
      <w:tr w:rsidR="003E6925" w:rsidRPr="00631CFA" w14:paraId="7CF15ABB" w14:textId="77777777" w:rsidTr="00A84E7C">
        <w:tc>
          <w:tcPr>
            <w:tcW w:w="7038" w:type="dxa"/>
          </w:tcPr>
          <w:p w14:paraId="1B118921" w14:textId="77777777" w:rsidR="003E6925" w:rsidRPr="003E6925" w:rsidRDefault="003E6925" w:rsidP="003E6925">
            <w:r w:rsidRPr="003E6925">
              <w:t>SettlementObligationReportV03</w:t>
            </w:r>
          </w:p>
        </w:tc>
        <w:tc>
          <w:tcPr>
            <w:tcW w:w="2160" w:type="dxa"/>
            <w:vAlign w:val="bottom"/>
          </w:tcPr>
          <w:p w14:paraId="0AC68538" w14:textId="77777777" w:rsidR="003E6925" w:rsidRPr="003E6925" w:rsidRDefault="003E6925" w:rsidP="003E6925">
            <w:r w:rsidRPr="003E6925">
              <w:t>secl.010.001.04</w:t>
            </w:r>
          </w:p>
        </w:tc>
      </w:tr>
    </w:tbl>
    <w:p w14:paraId="6CE3E01E" w14:textId="77777777" w:rsidR="00715699" w:rsidRDefault="00715699" w:rsidP="00715699">
      <w:pPr>
        <w:pStyle w:val="Heading3"/>
      </w:pPr>
      <w:r>
        <w:t>Functionality</w:t>
      </w:r>
    </w:p>
    <w:p w14:paraId="7D19BD4E" w14:textId="77777777" w:rsidR="00665B53" w:rsidRDefault="00715699" w:rsidP="00715699">
      <w:r>
        <w:t xml:space="preserve">See Message Definition Report Part 2 for the </w:t>
      </w:r>
      <w:r w:rsidR="002742C5">
        <w:t>mess</w:t>
      </w:r>
      <w:r>
        <w:t>age</w:t>
      </w:r>
      <w:r w:rsidR="002742C5">
        <w:t xml:space="preserve"> </w:t>
      </w:r>
      <w:r>
        <w:t>s</w:t>
      </w:r>
      <w:r w:rsidR="002742C5">
        <w:t xml:space="preserve">copes and </w:t>
      </w:r>
      <w:r>
        <w:t>formats.</w:t>
      </w:r>
    </w:p>
    <w:p w14:paraId="1AE26020" w14:textId="77777777" w:rsidR="003E6925" w:rsidRPr="00631CFA" w:rsidRDefault="003E6925" w:rsidP="003E6925">
      <w:pPr>
        <w:pStyle w:val="Heading1"/>
      </w:pPr>
      <w:bookmarkStart w:id="18" w:name="_Toc412636867"/>
      <w:bookmarkStart w:id="19" w:name="_Toc191756088"/>
      <w:bookmarkEnd w:id="4"/>
      <w:r w:rsidRPr="003E6925">
        <w:lastRenderedPageBreak/>
        <w:t>BusinessRoles</w:t>
      </w:r>
      <w:r w:rsidRPr="00631CFA">
        <w:t xml:space="preserve"> and </w:t>
      </w:r>
      <w:r w:rsidRPr="003E6925">
        <w:t>Participants</w:t>
      </w:r>
      <w:bookmarkEnd w:id="18"/>
      <w:bookmarkEnd w:id="19"/>
    </w:p>
    <w:p w14:paraId="1A8D2836" w14:textId="798E5AE7" w:rsidR="003E6925" w:rsidRPr="003E6925" w:rsidRDefault="003E6925" w:rsidP="003E6925">
      <w:r w:rsidRPr="003E6925">
        <w:t>A BA BusinessRole represents an entity (or a class of entities) of the real world, physical or legal, a person, a group of persons, a corporation. Examples of BusinessRoles: “Financial Institution”, “Automated Clearing House”, “Central Securities Depository”.</w:t>
      </w:r>
    </w:p>
    <w:p w14:paraId="344C4EC0" w14:textId="77777777" w:rsidR="003E6925" w:rsidRPr="003E6925" w:rsidRDefault="003E6925" w:rsidP="003E6925">
      <w:r w:rsidRPr="003E6925">
        <w:t xml:space="preserve">A Participant is a functional role performed by a BusinessRole in a particular BusinessProcess or BusinessTransaction: for example the “user” of a system, “debtor”, “creditor”, “investor” etc. </w:t>
      </w:r>
    </w:p>
    <w:p w14:paraId="6E75D8E4" w14:textId="77777777" w:rsidR="003E6925" w:rsidRPr="003E6925" w:rsidRDefault="003E6925" w:rsidP="003E6925">
      <w:r w:rsidRPr="003E6925">
        <w:t>The relationship between BusinessRoles and Participants is many-to-many. One BusinessRole (that is, a person) can be involved as different Participants at different moments in time or at the same time: "user", "debtor”, "creditor", "investor", etc. Different BusinessRoles can be involved as the same Participant.</w:t>
      </w:r>
    </w:p>
    <w:p w14:paraId="3A0E850F" w14:textId="77777777" w:rsidR="003E6925" w:rsidRPr="003E6925" w:rsidRDefault="003E6925" w:rsidP="003E6925">
      <w:r w:rsidRPr="003E6925">
        <w:t>In the context of Clearing, the high-level BusinessRoles and typical Participants can be represented as follows.</w:t>
      </w:r>
    </w:p>
    <w:p w14:paraId="5A136F62" w14:textId="77777777" w:rsidR="003E6925" w:rsidRPr="003E6925" w:rsidRDefault="003E6925" w:rsidP="003E6925">
      <w:r w:rsidRPr="003E6925">
        <w:rPr>
          <w:noProof/>
        </w:rPr>
        <w:drawing>
          <wp:inline distT="0" distB="0" distL="0" distR="0" wp14:anchorId="6D3378A6" wp14:editId="7A7C9F6C">
            <wp:extent cx="5904865" cy="827417"/>
            <wp:effectExtent l="0" t="0" r="635" b="0"/>
            <wp:docPr id="288" name="Picture 288" descr="A logo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Picture 288" descr="A logo of a building&#10;&#10;AI-generated content may be incorr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4865" cy="827417"/>
                    </a:xfrm>
                    <a:prstGeom prst="rect">
                      <a:avLst/>
                    </a:prstGeom>
                    <a:noFill/>
                    <a:ln>
                      <a:noFill/>
                    </a:ln>
                  </pic:spPr>
                </pic:pic>
              </a:graphicData>
            </a:graphic>
          </wp:inline>
        </w:drawing>
      </w:r>
    </w:p>
    <w:p w14:paraId="36A4E1C3" w14:textId="77777777" w:rsidR="003E6925" w:rsidRPr="003E6925" w:rsidRDefault="003E6925" w:rsidP="003E6925"/>
    <w:tbl>
      <w:tblPr>
        <w:tblStyle w:val="TableGrid"/>
        <w:tblW w:w="9108" w:type="dxa"/>
        <w:jc w:val="center"/>
        <w:tblInd w:w="0" w:type="dxa"/>
        <w:tblLook w:val="01E0" w:firstRow="1" w:lastRow="1" w:firstColumn="1" w:lastColumn="1" w:noHBand="0" w:noVBand="0"/>
      </w:tblPr>
      <w:tblGrid>
        <w:gridCol w:w="2508"/>
        <w:gridCol w:w="6600"/>
      </w:tblGrid>
      <w:tr w:rsidR="003E6925" w:rsidRPr="00631CFA" w14:paraId="36DB6CD6" w14:textId="77777777" w:rsidTr="00A84E7C">
        <w:trPr>
          <w:tblHeader/>
          <w:jc w:val="center"/>
        </w:trPr>
        <w:tc>
          <w:tcPr>
            <w:cnfStyle w:val="000100000000" w:firstRow="0" w:lastRow="0" w:firstColumn="0" w:lastColumn="1" w:oddVBand="0" w:evenVBand="0" w:oddHBand="0" w:evenHBand="0" w:firstRowFirstColumn="0" w:firstRowLastColumn="0" w:lastRowFirstColumn="0" w:lastRowLastColumn="0"/>
            <w:tcW w:w="9108" w:type="dxa"/>
            <w:gridSpan w:val="2"/>
            <w:shd w:val="clear" w:color="auto" w:fill="FFFFFF" w:themeFill="background1"/>
          </w:tcPr>
          <w:p w14:paraId="6E75C38A" w14:textId="77777777" w:rsidR="003E6925" w:rsidRPr="003E6925" w:rsidRDefault="003E6925" w:rsidP="003E6925">
            <w:r w:rsidRPr="003E6925">
              <w:t>Participants and BusinessRoles definitions</w:t>
            </w:r>
          </w:p>
        </w:tc>
      </w:tr>
      <w:tr w:rsidR="003E6925" w:rsidRPr="00631CFA" w14:paraId="200993FA" w14:textId="77777777" w:rsidTr="00A84E7C">
        <w:trPr>
          <w:tblHeader/>
          <w:jc w:val="center"/>
        </w:trPr>
        <w:tc>
          <w:tcPr>
            <w:tcW w:w="2508" w:type="dxa"/>
            <w:tcBorders>
              <w:bottom w:val="single" w:sz="4" w:space="0" w:color="auto"/>
            </w:tcBorders>
            <w:shd w:val="clear" w:color="auto" w:fill="FFFFFF" w:themeFill="background1"/>
          </w:tcPr>
          <w:p w14:paraId="1AEB1035" w14:textId="77777777" w:rsidR="003E6925" w:rsidRPr="003E6925" w:rsidRDefault="003E6925" w:rsidP="003E6925">
            <w:r w:rsidRPr="003E6925">
              <w:t>Description</w:t>
            </w:r>
          </w:p>
        </w:tc>
        <w:tc>
          <w:tcPr>
            <w:cnfStyle w:val="000100000000" w:firstRow="0" w:lastRow="0" w:firstColumn="0" w:lastColumn="1" w:oddVBand="0" w:evenVBand="0" w:oddHBand="0" w:evenHBand="0" w:firstRowFirstColumn="0" w:firstRowLastColumn="0" w:lastRowFirstColumn="0" w:lastRowLastColumn="0"/>
            <w:tcW w:w="6600" w:type="dxa"/>
            <w:tcBorders>
              <w:bottom w:val="single" w:sz="4" w:space="0" w:color="auto"/>
            </w:tcBorders>
            <w:shd w:val="clear" w:color="auto" w:fill="FFFFFF" w:themeFill="background1"/>
          </w:tcPr>
          <w:p w14:paraId="46D97926" w14:textId="77777777" w:rsidR="003E6925" w:rsidRPr="003E6925" w:rsidRDefault="003E6925" w:rsidP="003E6925">
            <w:r w:rsidRPr="003E6925">
              <w:t>Definition</w:t>
            </w:r>
          </w:p>
        </w:tc>
      </w:tr>
      <w:tr w:rsidR="003E6925" w:rsidRPr="00631CFA" w14:paraId="58561737" w14:textId="77777777" w:rsidTr="00A84E7C">
        <w:trPr>
          <w:jc w:val="center"/>
        </w:trPr>
        <w:tc>
          <w:tcPr>
            <w:cnfStyle w:val="000100000000" w:firstRow="0" w:lastRow="0" w:firstColumn="0" w:lastColumn="1" w:oddVBand="0" w:evenVBand="0" w:oddHBand="0" w:evenHBand="0" w:firstRowFirstColumn="0" w:firstRowLastColumn="0" w:lastRowFirstColumn="0" w:lastRowLastColumn="0"/>
            <w:tcW w:w="9108" w:type="dxa"/>
            <w:gridSpan w:val="2"/>
            <w:tcBorders>
              <w:bottom w:val="single" w:sz="4" w:space="0" w:color="auto"/>
            </w:tcBorders>
            <w:shd w:val="clear" w:color="auto" w:fill="D9D9D9" w:themeFill="background1" w:themeFillShade="D9"/>
          </w:tcPr>
          <w:p w14:paraId="2A7EAA40" w14:textId="77777777" w:rsidR="003E6925" w:rsidRPr="003E6925" w:rsidRDefault="003E6925" w:rsidP="003E6925">
            <w:r w:rsidRPr="003E6925">
              <w:t>Participants</w:t>
            </w:r>
          </w:p>
        </w:tc>
      </w:tr>
      <w:tr w:rsidR="003E6925" w:rsidRPr="00631CFA" w14:paraId="61EC3014" w14:textId="77777777" w:rsidTr="00A84E7C">
        <w:trPr>
          <w:jc w:val="center"/>
        </w:trPr>
        <w:tc>
          <w:tcPr>
            <w:tcW w:w="2508" w:type="dxa"/>
          </w:tcPr>
          <w:p w14:paraId="79C57B22" w14:textId="77777777" w:rsidR="003E6925" w:rsidRPr="003E6925" w:rsidRDefault="003E6925" w:rsidP="003E6925">
            <w:r w:rsidRPr="003E6925">
              <w:t xml:space="preserve">(Individual or General) Clearing Member </w:t>
            </w:r>
          </w:p>
          <w:p w14:paraId="2811C59C" w14:textId="77777777" w:rsidR="003E6925" w:rsidRPr="003E6925" w:rsidRDefault="003E6925" w:rsidP="003E6925"/>
        </w:tc>
        <w:tc>
          <w:tcPr>
            <w:cnfStyle w:val="000100000000" w:firstRow="0" w:lastRow="0" w:firstColumn="0" w:lastColumn="1" w:oddVBand="0" w:evenVBand="0" w:oddHBand="0" w:evenHBand="0" w:firstRowFirstColumn="0" w:firstRowLastColumn="0" w:lastRowFirstColumn="0" w:lastRowLastColumn="0"/>
            <w:tcW w:w="6600" w:type="dxa"/>
          </w:tcPr>
          <w:p w14:paraId="4CD6A7B2" w14:textId="77777777" w:rsidR="003E6925" w:rsidRPr="003E6925" w:rsidRDefault="003E6925" w:rsidP="003E6925">
            <w:r w:rsidRPr="003E6925">
              <w:t>A member of a clearing house. In a CCP context, a general clearing member clears on its own behalf, for its customers and on behalf of other market participants. Direct/individual clearing members clear on their own behalf and on behalf of their customers.</w:t>
            </w:r>
          </w:p>
        </w:tc>
      </w:tr>
      <w:tr w:rsidR="003E6925" w:rsidRPr="00631CFA" w14:paraId="24C3A401" w14:textId="77777777" w:rsidTr="00A84E7C">
        <w:trPr>
          <w:jc w:val="center"/>
        </w:trPr>
        <w:tc>
          <w:tcPr>
            <w:tcW w:w="2508" w:type="dxa"/>
          </w:tcPr>
          <w:p w14:paraId="3CFD55FE" w14:textId="77777777" w:rsidR="003E6925" w:rsidRPr="003E6925" w:rsidRDefault="003E6925" w:rsidP="003E6925">
            <w:r w:rsidRPr="003E6925">
              <w:t>Central Counterparty</w:t>
            </w:r>
          </w:p>
          <w:p w14:paraId="5DD8CC3C" w14:textId="77777777" w:rsidR="003E6925" w:rsidRPr="003E6925" w:rsidRDefault="003E6925" w:rsidP="003E6925"/>
        </w:tc>
        <w:tc>
          <w:tcPr>
            <w:cnfStyle w:val="000100000000" w:firstRow="0" w:lastRow="0" w:firstColumn="0" w:lastColumn="1" w:oddVBand="0" w:evenVBand="0" w:oddHBand="0" w:evenHBand="0" w:firstRowFirstColumn="0" w:firstRowLastColumn="0" w:lastRowFirstColumn="0" w:lastRowLastColumn="0"/>
            <w:tcW w:w="6600" w:type="dxa"/>
          </w:tcPr>
          <w:p w14:paraId="61200744" w14:textId="77777777" w:rsidR="003E6925" w:rsidRPr="003E6925" w:rsidRDefault="003E6925" w:rsidP="003E6925">
            <w:r w:rsidRPr="003E6925">
              <w:t>An entity that interposes itself between the counterparties to the contracts traded in one or more financial markets, on one or more trading venues, becoming the buyer to every seller and the seller to every buyer.</w:t>
            </w:r>
          </w:p>
        </w:tc>
      </w:tr>
      <w:tr w:rsidR="003E6925" w:rsidRPr="00631CFA" w14:paraId="05976AEA" w14:textId="77777777" w:rsidTr="00A84E7C">
        <w:trPr>
          <w:jc w:val="center"/>
        </w:trPr>
        <w:tc>
          <w:tcPr>
            <w:cnfStyle w:val="000100000000" w:firstRow="0" w:lastRow="0" w:firstColumn="0" w:lastColumn="1" w:oddVBand="0" w:evenVBand="0" w:oddHBand="0" w:evenHBand="0" w:firstRowFirstColumn="0" w:firstRowLastColumn="0" w:lastRowFirstColumn="0" w:lastRowLastColumn="0"/>
            <w:tcW w:w="9108" w:type="dxa"/>
            <w:gridSpan w:val="2"/>
            <w:tcBorders>
              <w:bottom w:val="single" w:sz="4" w:space="0" w:color="auto"/>
            </w:tcBorders>
            <w:shd w:val="clear" w:color="auto" w:fill="D9D9D9" w:themeFill="background1" w:themeFillShade="D9"/>
          </w:tcPr>
          <w:p w14:paraId="00778E36" w14:textId="77777777" w:rsidR="003E6925" w:rsidRPr="003E6925" w:rsidRDefault="003E6925" w:rsidP="003E6925">
            <w:r w:rsidRPr="003E6925">
              <w:t>BusinessRoles</w:t>
            </w:r>
          </w:p>
        </w:tc>
      </w:tr>
      <w:tr w:rsidR="003E6925" w:rsidRPr="00631CFA" w14:paraId="0E8AF9C7" w14:textId="77777777" w:rsidTr="00A84E7C">
        <w:trPr>
          <w:jc w:val="center"/>
        </w:trPr>
        <w:tc>
          <w:tcPr>
            <w:tcW w:w="2508" w:type="dxa"/>
          </w:tcPr>
          <w:p w14:paraId="1CED3674" w14:textId="77777777" w:rsidR="003E6925" w:rsidRPr="003E6925" w:rsidRDefault="003E6925" w:rsidP="003E6925">
            <w:r w:rsidRPr="003E6925">
              <w:t>Global Custodian</w:t>
            </w:r>
          </w:p>
        </w:tc>
        <w:tc>
          <w:tcPr>
            <w:cnfStyle w:val="000100000000" w:firstRow="0" w:lastRow="0" w:firstColumn="0" w:lastColumn="1" w:oddVBand="0" w:evenVBand="0" w:oddHBand="0" w:evenHBand="0" w:firstRowFirstColumn="0" w:firstRowLastColumn="0" w:lastRowFirstColumn="0" w:lastRowLastColumn="0"/>
            <w:tcW w:w="6600" w:type="dxa"/>
          </w:tcPr>
          <w:p w14:paraId="534EBBE4" w14:textId="77777777" w:rsidR="003E6925" w:rsidRPr="003E6925" w:rsidRDefault="003E6925" w:rsidP="003E6925">
            <w:r w:rsidRPr="003E6925">
              <w:t>The party that safe keeps and administers assets on behalf of the owner (from ISO 20022) and that has a network of sub-custodians.</w:t>
            </w:r>
          </w:p>
        </w:tc>
      </w:tr>
      <w:tr w:rsidR="003E6925" w:rsidRPr="00631CFA" w14:paraId="0B21536A" w14:textId="77777777" w:rsidTr="00A84E7C">
        <w:trPr>
          <w:jc w:val="center"/>
        </w:trPr>
        <w:tc>
          <w:tcPr>
            <w:tcW w:w="2508" w:type="dxa"/>
          </w:tcPr>
          <w:p w14:paraId="049CFE4B" w14:textId="77777777" w:rsidR="003E6925" w:rsidRPr="003E6925" w:rsidRDefault="003E6925" w:rsidP="003E6925">
            <w:r w:rsidRPr="003E6925">
              <w:t>Sub-Custodian</w:t>
            </w:r>
          </w:p>
        </w:tc>
        <w:tc>
          <w:tcPr>
            <w:cnfStyle w:val="000100000000" w:firstRow="0" w:lastRow="0" w:firstColumn="0" w:lastColumn="1" w:oddVBand="0" w:evenVBand="0" w:oddHBand="0" w:evenHBand="0" w:firstRowFirstColumn="0" w:firstRowLastColumn="0" w:lastRowFirstColumn="0" w:lastRowLastColumn="0"/>
            <w:tcW w:w="6600" w:type="dxa"/>
          </w:tcPr>
          <w:p w14:paraId="15D4432A" w14:textId="77777777" w:rsidR="003E6925" w:rsidRPr="003E6925" w:rsidRDefault="003E6925" w:rsidP="003E6925">
            <w:r w:rsidRPr="003E6925">
              <w:t>The party that safekeeps and administers assets on behalf of the owner (from ISO 20022).</w:t>
            </w:r>
          </w:p>
        </w:tc>
      </w:tr>
      <w:tr w:rsidR="003E6925" w:rsidRPr="00631CFA" w14:paraId="2C8511FD" w14:textId="77777777" w:rsidTr="00A84E7C">
        <w:trPr>
          <w:jc w:val="center"/>
        </w:trPr>
        <w:tc>
          <w:tcPr>
            <w:tcW w:w="2508" w:type="dxa"/>
          </w:tcPr>
          <w:p w14:paraId="1889C2FB" w14:textId="77777777" w:rsidR="003E6925" w:rsidRPr="003E6925" w:rsidRDefault="003E6925" w:rsidP="003E6925">
            <w:r w:rsidRPr="003E6925">
              <w:t>Broker</w:t>
            </w:r>
          </w:p>
        </w:tc>
        <w:tc>
          <w:tcPr>
            <w:cnfStyle w:val="000100000000" w:firstRow="0" w:lastRow="0" w:firstColumn="0" w:lastColumn="1" w:oddVBand="0" w:evenVBand="0" w:oddHBand="0" w:evenHBand="0" w:firstRowFirstColumn="0" w:firstRowLastColumn="0" w:lastRowFirstColumn="0" w:lastRowLastColumn="0"/>
            <w:tcW w:w="6600" w:type="dxa"/>
          </w:tcPr>
          <w:p w14:paraId="7809D6DF" w14:textId="77777777" w:rsidR="003E6925" w:rsidRPr="003E6925" w:rsidRDefault="003E6925" w:rsidP="003E6925">
            <w:r w:rsidRPr="003E6925">
              <w:t>The party that provides services to its members for the settlement of transactions and holding of assets.</w:t>
            </w:r>
          </w:p>
        </w:tc>
      </w:tr>
      <w:tr w:rsidR="003E6925" w:rsidRPr="00631CFA" w14:paraId="392C4CB5" w14:textId="77777777" w:rsidTr="00A84E7C">
        <w:trPr>
          <w:cnfStyle w:val="010000000000" w:firstRow="0" w:lastRow="1" w:firstColumn="0" w:lastColumn="0" w:oddVBand="0" w:evenVBand="0" w:oddHBand="0" w:evenHBand="0" w:firstRowFirstColumn="0" w:firstRowLastColumn="0" w:lastRowFirstColumn="0" w:lastRowLastColumn="0"/>
          <w:jc w:val="center"/>
        </w:trPr>
        <w:tc>
          <w:tcPr>
            <w:tcW w:w="2508" w:type="dxa"/>
          </w:tcPr>
          <w:p w14:paraId="080FDCD2" w14:textId="77777777" w:rsidR="003E6925" w:rsidRPr="003E6925" w:rsidRDefault="003E6925" w:rsidP="003E6925">
            <w:r w:rsidRPr="003E6925">
              <w:t>CCP</w:t>
            </w:r>
          </w:p>
        </w:tc>
        <w:tc>
          <w:tcPr>
            <w:cnfStyle w:val="000100000000" w:firstRow="0" w:lastRow="0" w:firstColumn="0" w:lastColumn="1" w:oddVBand="0" w:evenVBand="0" w:oddHBand="0" w:evenHBand="0" w:firstRowFirstColumn="0" w:firstRowLastColumn="0" w:lastRowFirstColumn="0" w:lastRowLastColumn="0"/>
            <w:tcW w:w="6600" w:type="dxa"/>
          </w:tcPr>
          <w:p w14:paraId="639729D2" w14:textId="77777777" w:rsidR="003E6925" w:rsidRPr="003E6925" w:rsidRDefault="003E6925" w:rsidP="003E6925">
            <w:r w:rsidRPr="003E6925">
              <w:t>The infrastructure that will act as central counterparty.</w:t>
            </w:r>
          </w:p>
        </w:tc>
      </w:tr>
    </w:tbl>
    <w:p w14:paraId="73879969" w14:textId="77777777" w:rsidR="003E6925" w:rsidRPr="003E6925" w:rsidRDefault="003E6925" w:rsidP="003E6925"/>
    <w:tbl>
      <w:tblPr>
        <w:tblStyle w:val="TableGrid"/>
        <w:tblW w:w="0" w:type="auto"/>
        <w:tblInd w:w="250" w:type="dxa"/>
        <w:tblLook w:val="01E0" w:firstRow="1" w:lastRow="1" w:firstColumn="1" w:lastColumn="1" w:noHBand="0" w:noVBand="0"/>
      </w:tblPr>
      <w:tblGrid>
        <w:gridCol w:w="3104"/>
        <w:gridCol w:w="2995"/>
        <w:gridCol w:w="2942"/>
      </w:tblGrid>
      <w:tr w:rsidR="003E6925" w:rsidRPr="00631CFA" w14:paraId="312951B8" w14:textId="77777777" w:rsidTr="00A84E7C">
        <w:tc>
          <w:tcPr>
            <w:cnfStyle w:val="000100000000" w:firstRow="0" w:lastRow="0" w:firstColumn="0" w:lastColumn="1" w:oddVBand="0" w:evenVBand="0" w:oddHBand="0" w:evenHBand="0" w:firstRowFirstColumn="0" w:firstRowLastColumn="0" w:lastRowFirstColumn="0" w:lastRowLastColumn="0"/>
            <w:tcW w:w="9054" w:type="dxa"/>
            <w:gridSpan w:val="3"/>
            <w:tcBorders>
              <w:bottom w:val="single" w:sz="4" w:space="0" w:color="auto"/>
              <w:tl2br w:val="nil"/>
            </w:tcBorders>
            <w:shd w:val="clear" w:color="auto" w:fill="FFFFFF" w:themeFill="background1"/>
            <w:vAlign w:val="center"/>
          </w:tcPr>
          <w:p w14:paraId="3415534C" w14:textId="77777777" w:rsidR="003E6925" w:rsidRPr="003E6925" w:rsidRDefault="003E6925" w:rsidP="003E6925">
            <w:r w:rsidRPr="003E6925">
              <w:t>BusinessRoles/Participants Matrix Table</w:t>
            </w:r>
          </w:p>
        </w:tc>
      </w:tr>
      <w:tr w:rsidR="003E6925" w:rsidRPr="00631CFA" w14:paraId="0BC4D09B" w14:textId="77777777" w:rsidTr="00A84E7C">
        <w:tc>
          <w:tcPr>
            <w:tcW w:w="3108" w:type="dxa"/>
            <w:tcBorders>
              <w:bottom w:val="single" w:sz="4" w:space="0" w:color="auto"/>
              <w:tl2br w:val="single" w:sz="4" w:space="0" w:color="auto"/>
            </w:tcBorders>
          </w:tcPr>
          <w:p w14:paraId="1930C1C9" w14:textId="77777777" w:rsidR="003E6925" w:rsidRPr="003E6925" w:rsidRDefault="003E6925" w:rsidP="003E6925">
            <w:r w:rsidRPr="003E6925">
              <w:t>Participants</w:t>
            </w:r>
          </w:p>
          <w:p w14:paraId="7E86E97F" w14:textId="77777777" w:rsidR="003E6925" w:rsidRPr="003E6925" w:rsidRDefault="003E6925" w:rsidP="003E6925">
            <w:r w:rsidRPr="003E6925">
              <w:t>BusinessRoles</w:t>
            </w:r>
          </w:p>
        </w:tc>
        <w:tc>
          <w:tcPr>
            <w:tcW w:w="3000" w:type="dxa"/>
            <w:shd w:val="clear" w:color="auto" w:fill="D9D9D9" w:themeFill="background1" w:themeFillShade="D9"/>
            <w:vAlign w:val="center"/>
          </w:tcPr>
          <w:p w14:paraId="18B8B728" w14:textId="77777777" w:rsidR="003E6925" w:rsidRPr="003E6925" w:rsidRDefault="003E6925" w:rsidP="003E6925">
            <w:r w:rsidRPr="003E6925">
              <w:t>Clearing Member (G or I)</w:t>
            </w:r>
          </w:p>
        </w:tc>
        <w:tc>
          <w:tcPr>
            <w:cnfStyle w:val="000100000000" w:firstRow="0" w:lastRow="0" w:firstColumn="0" w:lastColumn="1" w:oddVBand="0" w:evenVBand="0" w:oddHBand="0" w:evenHBand="0" w:firstRowFirstColumn="0" w:firstRowLastColumn="0" w:lastRowFirstColumn="0" w:lastRowLastColumn="0"/>
            <w:tcW w:w="2946" w:type="dxa"/>
            <w:shd w:val="clear" w:color="auto" w:fill="D9D9D9" w:themeFill="background1" w:themeFillShade="D9"/>
            <w:vAlign w:val="center"/>
          </w:tcPr>
          <w:p w14:paraId="0157437D" w14:textId="77777777" w:rsidR="003E6925" w:rsidRPr="003E6925" w:rsidRDefault="003E6925" w:rsidP="003E6925">
            <w:r w:rsidRPr="003E6925">
              <w:t>Central Counterparty</w:t>
            </w:r>
          </w:p>
        </w:tc>
      </w:tr>
      <w:tr w:rsidR="003E6925" w:rsidRPr="00631CFA" w14:paraId="3088FE02" w14:textId="77777777" w:rsidTr="00A84E7C">
        <w:tc>
          <w:tcPr>
            <w:tcW w:w="3108" w:type="dxa"/>
            <w:shd w:val="clear" w:color="auto" w:fill="D9D9D9" w:themeFill="background1" w:themeFillShade="D9"/>
          </w:tcPr>
          <w:p w14:paraId="188374A6" w14:textId="77777777" w:rsidR="003E6925" w:rsidRPr="003E6925" w:rsidRDefault="003E6925" w:rsidP="003E6925">
            <w:r w:rsidRPr="003E6925">
              <w:t>Global Custodian</w:t>
            </w:r>
          </w:p>
        </w:tc>
        <w:tc>
          <w:tcPr>
            <w:tcW w:w="3000" w:type="dxa"/>
            <w:vAlign w:val="center"/>
          </w:tcPr>
          <w:p w14:paraId="061EB4F9" w14:textId="77777777" w:rsidR="003E6925" w:rsidRPr="003E6925" w:rsidRDefault="003E6925" w:rsidP="003E6925">
            <w:r w:rsidRPr="003E6925">
              <w:t>X</w:t>
            </w:r>
          </w:p>
        </w:tc>
        <w:tc>
          <w:tcPr>
            <w:cnfStyle w:val="000100000000" w:firstRow="0" w:lastRow="0" w:firstColumn="0" w:lastColumn="1" w:oddVBand="0" w:evenVBand="0" w:oddHBand="0" w:evenHBand="0" w:firstRowFirstColumn="0" w:firstRowLastColumn="0" w:lastRowFirstColumn="0" w:lastRowLastColumn="0"/>
            <w:tcW w:w="2946" w:type="dxa"/>
            <w:vAlign w:val="center"/>
          </w:tcPr>
          <w:p w14:paraId="63117A2D" w14:textId="77777777" w:rsidR="003E6925" w:rsidRPr="003E6925" w:rsidRDefault="003E6925" w:rsidP="003E6925"/>
        </w:tc>
      </w:tr>
      <w:tr w:rsidR="003E6925" w:rsidRPr="00631CFA" w14:paraId="4BDD2CE2" w14:textId="77777777" w:rsidTr="00A84E7C">
        <w:tc>
          <w:tcPr>
            <w:tcW w:w="3108" w:type="dxa"/>
            <w:shd w:val="clear" w:color="auto" w:fill="D9D9D9" w:themeFill="background1" w:themeFillShade="D9"/>
          </w:tcPr>
          <w:p w14:paraId="128552DE" w14:textId="77777777" w:rsidR="003E6925" w:rsidRPr="003E6925" w:rsidRDefault="003E6925" w:rsidP="003E6925">
            <w:r w:rsidRPr="003E6925">
              <w:t>Sub-Custodian</w:t>
            </w:r>
          </w:p>
        </w:tc>
        <w:tc>
          <w:tcPr>
            <w:tcW w:w="3000" w:type="dxa"/>
            <w:vAlign w:val="center"/>
          </w:tcPr>
          <w:p w14:paraId="1FC8D4B5" w14:textId="77777777" w:rsidR="003E6925" w:rsidRPr="003E6925" w:rsidRDefault="003E6925" w:rsidP="003E6925">
            <w:r w:rsidRPr="003E6925">
              <w:t>X</w:t>
            </w:r>
          </w:p>
        </w:tc>
        <w:tc>
          <w:tcPr>
            <w:cnfStyle w:val="000100000000" w:firstRow="0" w:lastRow="0" w:firstColumn="0" w:lastColumn="1" w:oddVBand="0" w:evenVBand="0" w:oddHBand="0" w:evenHBand="0" w:firstRowFirstColumn="0" w:firstRowLastColumn="0" w:lastRowFirstColumn="0" w:lastRowLastColumn="0"/>
            <w:tcW w:w="2946" w:type="dxa"/>
            <w:vAlign w:val="center"/>
          </w:tcPr>
          <w:p w14:paraId="7694F739" w14:textId="77777777" w:rsidR="003E6925" w:rsidRPr="003E6925" w:rsidRDefault="003E6925" w:rsidP="003E6925"/>
        </w:tc>
      </w:tr>
      <w:tr w:rsidR="003E6925" w:rsidRPr="00631CFA" w14:paraId="7E2E73E0" w14:textId="77777777" w:rsidTr="00A84E7C">
        <w:tc>
          <w:tcPr>
            <w:tcW w:w="3108" w:type="dxa"/>
            <w:shd w:val="clear" w:color="auto" w:fill="D9D9D9" w:themeFill="background1" w:themeFillShade="D9"/>
          </w:tcPr>
          <w:p w14:paraId="7F0FB895" w14:textId="77777777" w:rsidR="003E6925" w:rsidRPr="003E6925" w:rsidRDefault="003E6925" w:rsidP="003E6925">
            <w:r w:rsidRPr="003E6925">
              <w:lastRenderedPageBreak/>
              <w:t>Broker</w:t>
            </w:r>
          </w:p>
        </w:tc>
        <w:tc>
          <w:tcPr>
            <w:tcW w:w="3000" w:type="dxa"/>
            <w:vAlign w:val="center"/>
          </w:tcPr>
          <w:p w14:paraId="19292E35" w14:textId="77777777" w:rsidR="003E6925" w:rsidRPr="003E6925" w:rsidRDefault="003E6925" w:rsidP="003E6925">
            <w:r w:rsidRPr="003E6925">
              <w:t>X</w:t>
            </w:r>
          </w:p>
        </w:tc>
        <w:tc>
          <w:tcPr>
            <w:cnfStyle w:val="000100000000" w:firstRow="0" w:lastRow="0" w:firstColumn="0" w:lastColumn="1" w:oddVBand="0" w:evenVBand="0" w:oddHBand="0" w:evenHBand="0" w:firstRowFirstColumn="0" w:firstRowLastColumn="0" w:lastRowFirstColumn="0" w:lastRowLastColumn="0"/>
            <w:tcW w:w="2946" w:type="dxa"/>
            <w:vAlign w:val="center"/>
          </w:tcPr>
          <w:p w14:paraId="5BDE6751" w14:textId="77777777" w:rsidR="003E6925" w:rsidRPr="003E6925" w:rsidRDefault="003E6925" w:rsidP="003E6925"/>
        </w:tc>
      </w:tr>
      <w:tr w:rsidR="003E6925" w:rsidRPr="00631CFA" w14:paraId="4C539A4C" w14:textId="77777777" w:rsidTr="00A84E7C">
        <w:trPr>
          <w:cnfStyle w:val="010000000000" w:firstRow="0" w:lastRow="1" w:firstColumn="0" w:lastColumn="0" w:oddVBand="0" w:evenVBand="0" w:oddHBand="0" w:evenHBand="0" w:firstRowFirstColumn="0" w:firstRowLastColumn="0" w:lastRowFirstColumn="0" w:lastRowLastColumn="0"/>
        </w:trPr>
        <w:tc>
          <w:tcPr>
            <w:tcW w:w="3108" w:type="dxa"/>
            <w:shd w:val="clear" w:color="auto" w:fill="D9D9D9" w:themeFill="background1" w:themeFillShade="D9"/>
          </w:tcPr>
          <w:p w14:paraId="57205654" w14:textId="77777777" w:rsidR="003E6925" w:rsidRPr="003E6925" w:rsidRDefault="003E6925" w:rsidP="003E6925">
            <w:r w:rsidRPr="003E6925">
              <w:t>CCP</w:t>
            </w:r>
          </w:p>
        </w:tc>
        <w:tc>
          <w:tcPr>
            <w:tcW w:w="3000" w:type="dxa"/>
            <w:vAlign w:val="center"/>
          </w:tcPr>
          <w:p w14:paraId="0E9CBB65" w14:textId="77777777" w:rsidR="003E6925" w:rsidRPr="003E6925" w:rsidRDefault="003E6925" w:rsidP="003E6925"/>
        </w:tc>
        <w:tc>
          <w:tcPr>
            <w:cnfStyle w:val="000100000000" w:firstRow="0" w:lastRow="0" w:firstColumn="0" w:lastColumn="1" w:oddVBand="0" w:evenVBand="0" w:oddHBand="0" w:evenHBand="0" w:firstRowFirstColumn="0" w:firstRowLastColumn="0" w:lastRowFirstColumn="0" w:lastRowLastColumn="0"/>
            <w:tcW w:w="2946" w:type="dxa"/>
            <w:vAlign w:val="center"/>
          </w:tcPr>
          <w:p w14:paraId="2DCDD43B" w14:textId="77777777" w:rsidR="003E6925" w:rsidRPr="003E6925" w:rsidRDefault="003E6925" w:rsidP="003E6925">
            <w:r w:rsidRPr="003E6925">
              <w:t>X</w:t>
            </w:r>
          </w:p>
        </w:tc>
      </w:tr>
    </w:tbl>
    <w:p w14:paraId="3E533EA9" w14:textId="77777777" w:rsidR="003E6925" w:rsidRPr="00631CFA" w:rsidRDefault="003E6925" w:rsidP="003E6925">
      <w:pPr>
        <w:pStyle w:val="Heading1"/>
      </w:pPr>
      <w:bookmarkStart w:id="20" w:name="_Toc355789206"/>
      <w:bookmarkStart w:id="21" w:name="_Toc412636868"/>
      <w:bookmarkStart w:id="22" w:name="_Toc191756089"/>
      <w:r w:rsidRPr="003E6925">
        <w:lastRenderedPageBreak/>
        <w:t>BusinessProcess</w:t>
      </w:r>
      <w:r w:rsidRPr="00631CFA">
        <w:t xml:space="preserve"> Description</w:t>
      </w:r>
      <w:bookmarkEnd w:id="20"/>
      <w:bookmarkEnd w:id="21"/>
      <w:bookmarkEnd w:id="22"/>
    </w:p>
    <w:p w14:paraId="1A97A633" w14:textId="77777777" w:rsidR="003E6925" w:rsidRPr="00631CFA" w:rsidRDefault="003E6925" w:rsidP="003E6925">
      <w:pPr>
        <w:pStyle w:val="Heading2"/>
      </w:pPr>
      <w:bookmarkStart w:id="23" w:name="_Toc183937453"/>
      <w:bookmarkStart w:id="24" w:name="_Toc355789207"/>
      <w:bookmarkStart w:id="25" w:name="_Toc412636869"/>
      <w:bookmarkStart w:id="26" w:name="_Toc191756090"/>
      <w:r w:rsidRPr="003E6925">
        <w:t>BusinessProcess</w:t>
      </w:r>
      <w:r w:rsidRPr="00631CFA">
        <w:t xml:space="preserve"> Diagram</w:t>
      </w:r>
      <w:bookmarkEnd w:id="23"/>
      <w:bookmarkEnd w:id="24"/>
      <w:bookmarkEnd w:id="25"/>
      <w:bookmarkEnd w:id="26"/>
    </w:p>
    <w:p w14:paraId="46CFACF9" w14:textId="77777777" w:rsidR="003E6925" w:rsidRPr="003E6925" w:rsidRDefault="003E6925" w:rsidP="003E6925">
      <w:r w:rsidRPr="003E6925">
        <w:t>This diagram pictures the high level BusinessProcesses covered by this project. These high level BusinessProcesses, if necessary, can be further split down into more detailed BusinessProcesses during the business modelling phase. The aim of the below is to describe the high-level scope of the project, not to be exhaustive. Some of the processes below (Collateral Management and Reporting processes) are shown for completeness purposes only but are not part of the scope of the Clearing project.</w:t>
      </w:r>
    </w:p>
    <w:p w14:paraId="282B9A02" w14:textId="77777777" w:rsidR="003E6925" w:rsidRPr="003E6925" w:rsidRDefault="003E6925" w:rsidP="003E6925"/>
    <w:p w14:paraId="2BC0187E" w14:textId="77777777" w:rsidR="003E6925" w:rsidRPr="003E6925" w:rsidRDefault="003E6925" w:rsidP="003E6925">
      <w:r w:rsidRPr="003E6925">
        <w:object w:dxaOrig="9135" w:dyaOrig="4605" w14:anchorId="756B6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230.25pt" o:ole="">
            <v:imagedata r:id="rId21" o:title=""/>
          </v:shape>
          <o:OLEObject Type="Embed" ProgID="Visio.Drawing.11" ShapeID="_x0000_i1025" DrawAspect="Content" ObjectID="_1802368852" r:id="rId22"/>
        </w:object>
      </w:r>
    </w:p>
    <w:p w14:paraId="0378647B" w14:textId="77777777" w:rsidR="003E6925" w:rsidRPr="00631CFA" w:rsidRDefault="003E6925" w:rsidP="003E6925"/>
    <w:p w14:paraId="3CB379D5" w14:textId="77777777" w:rsidR="003E6925" w:rsidRPr="003E6925" w:rsidRDefault="003E6925" w:rsidP="001C56E5">
      <w:pPr>
        <w:pStyle w:val="BlockLabel"/>
      </w:pPr>
      <w:r w:rsidRPr="003E6925">
        <w:t>Trade Management process:</w:t>
      </w:r>
    </w:p>
    <w:p w14:paraId="4C55AE3B" w14:textId="77777777" w:rsidR="003E6925" w:rsidRPr="003E6925" w:rsidRDefault="003E6925" w:rsidP="001C56E5">
      <w:pPr>
        <w:pStyle w:val="ListBullet"/>
      </w:pPr>
      <w:r w:rsidRPr="003E6925">
        <w:t>Definition: Process by which the CCP creates two trades (after Novation) from the one received from the exchange and reports them to the Clearing Members (CMs). The Novation is the legal concept that enables a CCP to become the counterparty. Through novation the original contract between the buyer and seller is extinguished and replaced by two new contracts, one between the CCP and the buyer and the one between the CCP and the seller.</w:t>
      </w:r>
    </w:p>
    <w:p w14:paraId="0E09DCB6" w14:textId="77777777" w:rsidR="003E6925" w:rsidRPr="003E6925" w:rsidRDefault="003E6925" w:rsidP="001C56E5">
      <w:pPr>
        <w:pStyle w:val="ListBullet"/>
      </w:pPr>
      <w:r w:rsidRPr="003E6925">
        <w:t>Trigger: The process is triggered when the trading venue (either an exchange of a multilateral trading facility) notifies a trade to the CCP.</w:t>
      </w:r>
    </w:p>
    <w:p w14:paraId="2B64EC57" w14:textId="77777777" w:rsidR="003E6925" w:rsidRPr="003E6925" w:rsidRDefault="003E6925" w:rsidP="001C56E5">
      <w:pPr>
        <w:pStyle w:val="ListBullet"/>
      </w:pPr>
      <w:r w:rsidRPr="003E6925">
        <w:t>Pre-conditions: CCP accepts the trade.</w:t>
      </w:r>
    </w:p>
    <w:p w14:paraId="59CB7E40" w14:textId="77777777" w:rsidR="003E6925" w:rsidRPr="003E6925" w:rsidRDefault="003E6925" w:rsidP="001C56E5">
      <w:pPr>
        <w:pStyle w:val="ListBullet"/>
      </w:pPr>
      <w:r w:rsidRPr="003E6925">
        <w:t>Post-conditions: The Clearing member is notified of the trade.</w:t>
      </w:r>
    </w:p>
    <w:p w14:paraId="6EB74360" w14:textId="77777777" w:rsidR="003E6925" w:rsidRPr="003E6925" w:rsidRDefault="003E6925" w:rsidP="001C56E5">
      <w:pPr>
        <w:pStyle w:val="ListBullet"/>
      </w:pPr>
      <w:r w:rsidRPr="003E6925">
        <w:t>Role: CCP</w:t>
      </w:r>
    </w:p>
    <w:p w14:paraId="07A0A9D2" w14:textId="77777777" w:rsidR="003E6925" w:rsidRPr="003E6925" w:rsidRDefault="003E6925" w:rsidP="001C56E5">
      <w:pPr>
        <w:pStyle w:val="BlockLabel"/>
      </w:pPr>
      <w:r w:rsidRPr="003E6925">
        <w:t>Risk Management process:</w:t>
      </w:r>
    </w:p>
    <w:p w14:paraId="399F9F27" w14:textId="77777777" w:rsidR="003E6925" w:rsidRPr="003E6925" w:rsidRDefault="003E6925" w:rsidP="001C56E5">
      <w:pPr>
        <w:pStyle w:val="ListBullet"/>
      </w:pPr>
      <w:r w:rsidRPr="003E6925">
        <w:t>Definition: Process or approach that seeks to eliminate or at least minimize the level of risk associated with a business operation. This process encompasses three sub-processes: the netting, the margining and the Default Fund contribution processes.</w:t>
      </w:r>
    </w:p>
    <w:p w14:paraId="3BA9680C" w14:textId="77777777" w:rsidR="003E6925" w:rsidRPr="003E6925" w:rsidRDefault="003E6925" w:rsidP="001C56E5">
      <w:pPr>
        <w:pStyle w:val="ListBullet"/>
      </w:pPr>
      <w:r w:rsidRPr="003E6925">
        <w:t>Trigger: During the day or at the end of the day, depending on each CCP’s internal rules, each clearing member ‘risk profile is evaluated.</w:t>
      </w:r>
    </w:p>
    <w:p w14:paraId="6D0955C5" w14:textId="77777777" w:rsidR="003E6925" w:rsidRPr="003E6925" w:rsidRDefault="003E6925" w:rsidP="001C56E5">
      <w:pPr>
        <w:pStyle w:val="ListBullet"/>
      </w:pPr>
      <w:r w:rsidRPr="003E6925">
        <w:lastRenderedPageBreak/>
        <w:t>Pre-conditions: None.</w:t>
      </w:r>
    </w:p>
    <w:p w14:paraId="1A2C565D" w14:textId="77777777" w:rsidR="003E6925" w:rsidRPr="003E6925" w:rsidRDefault="003E6925" w:rsidP="001C56E5">
      <w:pPr>
        <w:pStyle w:val="ListBullet"/>
      </w:pPr>
      <w:r w:rsidRPr="003E6925">
        <w:t>Post-conditions:  Each Clearing Member may be requested to provide collateral to cover any risk identified.</w:t>
      </w:r>
    </w:p>
    <w:p w14:paraId="31F9E190" w14:textId="77777777" w:rsidR="003E6925" w:rsidRPr="003E6925" w:rsidRDefault="003E6925" w:rsidP="001C56E5">
      <w:pPr>
        <w:pStyle w:val="ListBullet"/>
      </w:pPr>
      <w:r w:rsidRPr="003E6925">
        <w:t>Role: CCP</w:t>
      </w:r>
    </w:p>
    <w:p w14:paraId="5A4F187E" w14:textId="77777777" w:rsidR="003E6925" w:rsidRPr="003E6925" w:rsidRDefault="003E6925" w:rsidP="001C56E5">
      <w:pPr>
        <w:pStyle w:val="BlockLabel2"/>
      </w:pPr>
      <w:r w:rsidRPr="003E6925">
        <w:t>Netting process:</w:t>
      </w:r>
    </w:p>
    <w:p w14:paraId="276B890B" w14:textId="77777777" w:rsidR="003E6925" w:rsidRPr="003E6925" w:rsidRDefault="003E6925" w:rsidP="001C56E5">
      <w:pPr>
        <w:pStyle w:val="ListBullet3"/>
      </w:pPr>
      <w:r w:rsidRPr="003E6925">
        <w:t>Definition: Process by which a CCP takes all trades legs of a CM into account to calculate the net resulting position (client and house) which will be the basis for the margining process.</w:t>
      </w:r>
    </w:p>
    <w:p w14:paraId="63753AB8" w14:textId="77777777" w:rsidR="003E6925" w:rsidRPr="003E6925" w:rsidRDefault="003E6925" w:rsidP="001C56E5">
      <w:pPr>
        <w:pStyle w:val="ListBullet3"/>
      </w:pPr>
      <w:r w:rsidRPr="003E6925">
        <w:t>Trigger: End of day milestones from all markets.</w:t>
      </w:r>
    </w:p>
    <w:p w14:paraId="235A88E0" w14:textId="77777777" w:rsidR="003E6925" w:rsidRPr="003E6925" w:rsidRDefault="003E6925" w:rsidP="001C56E5">
      <w:pPr>
        <w:pStyle w:val="ListBullet3"/>
      </w:pPr>
      <w:r w:rsidRPr="003E6925">
        <w:t>Pre-conditions: None</w:t>
      </w:r>
    </w:p>
    <w:p w14:paraId="6341BFA8" w14:textId="77777777" w:rsidR="003E6925" w:rsidRPr="003E6925" w:rsidRDefault="003E6925" w:rsidP="001C56E5">
      <w:pPr>
        <w:pStyle w:val="ListBullet3"/>
      </w:pPr>
      <w:r w:rsidRPr="003E6925">
        <w:t>Post-conditions: The CCP nets all the positions (per margin account– House and Client). The Clearing Member is informed of the netting results and it reconciles his netting calculation with the CCP results (based on the netting parameters).</w:t>
      </w:r>
    </w:p>
    <w:p w14:paraId="6C627867" w14:textId="77777777" w:rsidR="003E6925" w:rsidRPr="003E6925" w:rsidRDefault="003E6925" w:rsidP="001C56E5">
      <w:pPr>
        <w:pStyle w:val="ListBullet3"/>
      </w:pPr>
      <w:r w:rsidRPr="003E6925">
        <w:t>Role: CCP</w:t>
      </w:r>
    </w:p>
    <w:p w14:paraId="18B20899" w14:textId="77777777" w:rsidR="003E6925" w:rsidRPr="003E6925" w:rsidRDefault="003E6925" w:rsidP="001C56E5">
      <w:pPr>
        <w:pStyle w:val="BlockLabel2"/>
      </w:pPr>
      <w:r w:rsidRPr="003E6925">
        <w:t xml:space="preserve">Margining process: </w:t>
      </w:r>
    </w:p>
    <w:p w14:paraId="01008EC2" w14:textId="77777777" w:rsidR="003E6925" w:rsidRPr="003E6925" w:rsidRDefault="003E6925" w:rsidP="001C56E5">
      <w:pPr>
        <w:pStyle w:val="ListBullet3"/>
      </w:pPr>
      <w:r w:rsidRPr="003E6925">
        <w:t>Definition: Process by which a CCP will collect margin from Clearing Members based on historical and current market value of securities held. If requirements are modified, margin calls are made to maintain the risk profile. Margin calls should be made at least once a day, intraday margin calls are possible. Margining requirements can be collected based on either net or gross positions held by a participant.</w:t>
      </w:r>
    </w:p>
    <w:p w14:paraId="0D714C4C" w14:textId="77777777" w:rsidR="003E6925" w:rsidRPr="003E6925" w:rsidRDefault="003E6925" w:rsidP="001C56E5">
      <w:pPr>
        <w:pStyle w:val="ListBullet3"/>
      </w:pPr>
      <w:r w:rsidRPr="003E6925">
        <w:t>Trigger: The process can be triggered by the completion of the netting process, but margin calculation can be done intraday. Each CCP will define when this calculation should be done.</w:t>
      </w:r>
    </w:p>
    <w:p w14:paraId="4E88AC58" w14:textId="77777777" w:rsidR="003E6925" w:rsidRPr="003E6925" w:rsidRDefault="003E6925" w:rsidP="001C56E5">
      <w:pPr>
        <w:pStyle w:val="ListBullet3"/>
      </w:pPr>
      <w:r w:rsidRPr="003E6925">
        <w:t>Pre-conditions: Net position has been calculated or a specific milestone is reached.</w:t>
      </w:r>
    </w:p>
    <w:p w14:paraId="6C487BCD" w14:textId="77777777" w:rsidR="003E6925" w:rsidRPr="003E6925" w:rsidRDefault="003E6925" w:rsidP="001C56E5">
      <w:pPr>
        <w:pStyle w:val="ListBullet3"/>
      </w:pPr>
      <w:r w:rsidRPr="003E6925">
        <w:t>Post-conditions: CCP sends a margin call to Clearing Member if required.</w:t>
      </w:r>
    </w:p>
    <w:p w14:paraId="33C2691A" w14:textId="77777777" w:rsidR="003E6925" w:rsidRPr="003E6925" w:rsidRDefault="003E6925" w:rsidP="001C56E5">
      <w:pPr>
        <w:pStyle w:val="ListBullet3"/>
      </w:pPr>
      <w:r w:rsidRPr="003E6925">
        <w:t>Role: CCP</w:t>
      </w:r>
    </w:p>
    <w:p w14:paraId="4446C736" w14:textId="77777777" w:rsidR="003E6925" w:rsidRPr="003E6925" w:rsidRDefault="003E6925" w:rsidP="001C56E5">
      <w:pPr>
        <w:pStyle w:val="BlockLabel"/>
      </w:pPr>
      <w:r w:rsidRPr="003E6925">
        <w:t>Default Fund Contribution process:</w:t>
      </w:r>
    </w:p>
    <w:p w14:paraId="6A55485E" w14:textId="77777777" w:rsidR="003E6925" w:rsidRPr="003E6925" w:rsidRDefault="003E6925" w:rsidP="001C56E5">
      <w:pPr>
        <w:pStyle w:val="ListBullet"/>
      </w:pPr>
      <w:r w:rsidRPr="003E6925">
        <w:t>Definition: CCPs require participants to post assets in a clearing fund that can be used in the event of a default by a participant to compensate non-defaulting participants for losses they suffer due to this default. Contributions are linked to the riskiness of a participants’ activity as measured by margin posted, by size of position or sometimes by stress-testing results.</w:t>
      </w:r>
    </w:p>
    <w:p w14:paraId="64C6319C" w14:textId="77777777" w:rsidR="003E6925" w:rsidRPr="003E6925" w:rsidRDefault="003E6925" w:rsidP="001C56E5">
      <w:pPr>
        <w:pStyle w:val="ListBullet"/>
      </w:pPr>
      <w:r w:rsidRPr="003E6925">
        <w:t>Trigger: Participant risk level assessment.</w:t>
      </w:r>
    </w:p>
    <w:p w14:paraId="226A2A5B" w14:textId="77777777" w:rsidR="003E6925" w:rsidRPr="003E6925" w:rsidRDefault="003E6925" w:rsidP="001C56E5">
      <w:pPr>
        <w:pStyle w:val="ListBullet"/>
      </w:pPr>
      <w:r w:rsidRPr="003E6925">
        <w:t>Pre-conditions: None</w:t>
      </w:r>
    </w:p>
    <w:p w14:paraId="5DE7A220" w14:textId="77777777" w:rsidR="003E6925" w:rsidRPr="003E6925" w:rsidRDefault="003E6925" w:rsidP="001C56E5">
      <w:pPr>
        <w:pStyle w:val="ListBullet"/>
      </w:pPr>
      <w:r w:rsidRPr="003E6925">
        <w:t>Post-conditions: CCP sends a margin call to Clearing Member if required.</w:t>
      </w:r>
    </w:p>
    <w:p w14:paraId="1A4380E4" w14:textId="77777777" w:rsidR="003E6925" w:rsidRPr="003E6925" w:rsidRDefault="003E6925" w:rsidP="001C56E5">
      <w:pPr>
        <w:pStyle w:val="ListBullet"/>
      </w:pPr>
      <w:r w:rsidRPr="003E6925">
        <w:t>Role: CCP</w:t>
      </w:r>
    </w:p>
    <w:p w14:paraId="2AB46772" w14:textId="77777777" w:rsidR="003E6925" w:rsidRPr="003E6925" w:rsidRDefault="003E6925" w:rsidP="001C56E5">
      <w:pPr>
        <w:pStyle w:val="BlockLabel"/>
      </w:pPr>
      <w:r w:rsidRPr="003E6925">
        <w:t>Collateral Management process (out of scope):</w:t>
      </w:r>
    </w:p>
    <w:p w14:paraId="65F1583A" w14:textId="77777777" w:rsidR="003E6925" w:rsidRPr="003E6925" w:rsidRDefault="003E6925" w:rsidP="001C56E5">
      <w:pPr>
        <w:pStyle w:val="ListBullet"/>
      </w:pPr>
      <w:r w:rsidRPr="003E6925">
        <w:t>Definition: Process by which CCPs and CMs manage collateral positions during the transaction processing to ensure the risk is mitigated. CCPs also set the rules for the substitution of collateral; indeed substitution can be done under specific rules defined by the CCP (for example, type of new collateral, concentration limits).</w:t>
      </w:r>
    </w:p>
    <w:p w14:paraId="76D2A4C6" w14:textId="77777777" w:rsidR="003E6925" w:rsidRPr="003E6925" w:rsidRDefault="003E6925" w:rsidP="001C56E5">
      <w:pPr>
        <w:pStyle w:val="ListBullet"/>
      </w:pPr>
      <w:r w:rsidRPr="003E6925">
        <w:t>Trigger: Calculation of the risk encountered by the CCP.</w:t>
      </w:r>
    </w:p>
    <w:p w14:paraId="0A083BDD" w14:textId="77777777" w:rsidR="003E6925" w:rsidRPr="003E6925" w:rsidRDefault="003E6925" w:rsidP="001C56E5">
      <w:pPr>
        <w:pStyle w:val="ListBullet"/>
      </w:pPr>
      <w:r w:rsidRPr="003E6925">
        <w:t>Pre-conditions: Postings of collateral to cover the risk of default of the Clearing Member.</w:t>
      </w:r>
    </w:p>
    <w:p w14:paraId="78ED518B" w14:textId="77777777" w:rsidR="003E6925" w:rsidRPr="003E6925" w:rsidRDefault="003E6925" w:rsidP="001C56E5">
      <w:pPr>
        <w:pStyle w:val="ListBullet"/>
      </w:pPr>
      <w:r w:rsidRPr="003E6925">
        <w:t>Post-conditions: Movement on the clearing member collateral account.</w:t>
      </w:r>
    </w:p>
    <w:p w14:paraId="435E2D8B" w14:textId="77777777" w:rsidR="003E6925" w:rsidRPr="003E6925" w:rsidRDefault="003E6925" w:rsidP="001C56E5">
      <w:pPr>
        <w:pStyle w:val="ListBullet"/>
      </w:pPr>
      <w:r w:rsidRPr="003E6925">
        <w:t>Role: CCP</w:t>
      </w:r>
    </w:p>
    <w:p w14:paraId="0F0604A4" w14:textId="77777777" w:rsidR="003E6925" w:rsidRPr="003E6925" w:rsidRDefault="003E6925" w:rsidP="001C56E5">
      <w:pPr>
        <w:pStyle w:val="BlockLabel"/>
      </w:pPr>
      <w:r w:rsidRPr="003E6925">
        <w:lastRenderedPageBreak/>
        <w:t>Settlement Management process:</w:t>
      </w:r>
    </w:p>
    <w:p w14:paraId="74ECC491" w14:textId="77777777" w:rsidR="003E6925" w:rsidRPr="003E6925" w:rsidRDefault="003E6925" w:rsidP="001C56E5">
      <w:pPr>
        <w:pStyle w:val="ListBullet"/>
      </w:pPr>
      <w:r w:rsidRPr="003E6925">
        <w:t>Definition: The process of managing the correct settlement of the net open position of each clearing member. This process encompasses two sub-processes: the Settlement Netting process, the Buy-In process.</w:t>
      </w:r>
    </w:p>
    <w:p w14:paraId="3A3DE956" w14:textId="77777777" w:rsidR="003E6925" w:rsidRPr="003E6925" w:rsidRDefault="003E6925" w:rsidP="001C56E5">
      <w:pPr>
        <w:pStyle w:val="ListBullet"/>
      </w:pPr>
      <w:r w:rsidRPr="003E6925">
        <w:t>Trigger: End of day milestones from all markets.</w:t>
      </w:r>
    </w:p>
    <w:p w14:paraId="742D490D" w14:textId="77777777" w:rsidR="003E6925" w:rsidRPr="003E6925" w:rsidRDefault="003E6925" w:rsidP="001C56E5">
      <w:pPr>
        <w:pStyle w:val="ListBullet"/>
      </w:pPr>
      <w:r w:rsidRPr="003E6925">
        <w:t>Pre-conditions: The netting and margining processes are completed.</w:t>
      </w:r>
    </w:p>
    <w:p w14:paraId="08587C80" w14:textId="77777777" w:rsidR="003E6925" w:rsidRPr="003E6925" w:rsidRDefault="003E6925" w:rsidP="001C56E5">
      <w:pPr>
        <w:pStyle w:val="ListBullet"/>
      </w:pPr>
      <w:r w:rsidRPr="003E6925">
        <w:t>Post-conditions: None</w:t>
      </w:r>
    </w:p>
    <w:p w14:paraId="45ACE8E1" w14:textId="77777777" w:rsidR="003E6925" w:rsidRPr="003E6925" w:rsidRDefault="003E6925" w:rsidP="001C56E5">
      <w:pPr>
        <w:pStyle w:val="ListBullet"/>
      </w:pPr>
      <w:r w:rsidRPr="003E6925">
        <w:t>Role: CCP</w:t>
      </w:r>
    </w:p>
    <w:p w14:paraId="156EEA4A" w14:textId="77777777" w:rsidR="003E6925" w:rsidRPr="003E6925" w:rsidRDefault="003E6925" w:rsidP="001C56E5">
      <w:pPr>
        <w:pStyle w:val="BlockLabel2"/>
      </w:pPr>
      <w:r w:rsidRPr="003E6925">
        <w:t>Settlement Netting process:</w:t>
      </w:r>
    </w:p>
    <w:p w14:paraId="5B1ED799" w14:textId="77777777" w:rsidR="003E6925" w:rsidRPr="003E6925" w:rsidRDefault="003E6925" w:rsidP="001C56E5">
      <w:pPr>
        <w:pStyle w:val="ListBullet3"/>
      </w:pPr>
      <w:r w:rsidRPr="003E6925">
        <w:t>Definition: Process by which a CCP takes all trades legs of a CM into account and calculate the net resulting instruction (based on the CCP rules) that should be settled.</w:t>
      </w:r>
    </w:p>
    <w:p w14:paraId="4941E3B2" w14:textId="77777777" w:rsidR="003E6925" w:rsidRPr="003E6925" w:rsidRDefault="003E6925" w:rsidP="001C56E5">
      <w:pPr>
        <w:pStyle w:val="ListBullet3"/>
      </w:pPr>
      <w:r w:rsidRPr="003E6925">
        <w:t>Trigger: The trades netting is completed and, based on the settlement results received from the Central Securities Depository, the CCP updates the positions/instructions (CNS model only). It may also apply the announced corporate events to the impacted positions/instructions (this process is out of scope).</w:t>
      </w:r>
    </w:p>
    <w:p w14:paraId="7FC8F8B4" w14:textId="77777777" w:rsidR="003E6925" w:rsidRPr="003E6925" w:rsidRDefault="003E6925" w:rsidP="001C56E5">
      <w:pPr>
        <w:pStyle w:val="ListBullet3"/>
      </w:pPr>
      <w:r w:rsidRPr="003E6925">
        <w:t>Pre-conditions: None</w:t>
      </w:r>
    </w:p>
    <w:p w14:paraId="5BFA17D0" w14:textId="77777777" w:rsidR="003E6925" w:rsidRPr="003E6925" w:rsidRDefault="003E6925" w:rsidP="001C56E5">
      <w:pPr>
        <w:pStyle w:val="ListBullet3"/>
      </w:pPr>
      <w:r w:rsidRPr="003E6925">
        <w:t>Post-conditions: Settlement Obligation is sent to each Clearing Member.</w:t>
      </w:r>
    </w:p>
    <w:p w14:paraId="24705B4F" w14:textId="77777777" w:rsidR="003E6925" w:rsidRPr="003E6925" w:rsidRDefault="003E6925" w:rsidP="001C56E5">
      <w:pPr>
        <w:pStyle w:val="ListBullet3"/>
      </w:pPr>
      <w:r w:rsidRPr="003E6925">
        <w:t>Role: CCP</w:t>
      </w:r>
    </w:p>
    <w:p w14:paraId="056BA9E3" w14:textId="77777777" w:rsidR="003E6925" w:rsidRPr="003E6925" w:rsidRDefault="003E6925" w:rsidP="001C56E5">
      <w:pPr>
        <w:pStyle w:val="BlockLabel2"/>
      </w:pPr>
      <w:r w:rsidRPr="003E6925">
        <w:t>Buy-In process:</w:t>
      </w:r>
    </w:p>
    <w:p w14:paraId="0E61282F" w14:textId="77777777" w:rsidR="003E6925" w:rsidRPr="003E6925" w:rsidRDefault="003E6925" w:rsidP="001C56E5">
      <w:pPr>
        <w:pStyle w:val="ListBullet3"/>
      </w:pPr>
      <w:r w:rsidRPr="003E6925">
        <w:t>Definition: Process by which the CCP buy-in stocks to cover failed transactions.</w:t>
      </w:r>
    </w:p>
    <w:p w14:paraId="404F47D3" w14:textId="77777777" w:rsidR="003E6925" w:rsidRPr="003E6925" w:rsidRDefault="003E6925" w:rsidP="001C56E5">
      <w:pPr>
        <w:pStyle w:val="ListBullet3"/>
      </w:pPr>
      <w:r w:rsidRPr="003E6925">
        <w:t>Trigger: Non settlement of a trade after a certain number of days (depending on CCPs’).</w:t>
      </w:r>
    </w:p>
    <w:p w14:paraId="3C833EB2" w14:textId="77777777" w:rsidR="003E6925" w:rsidRPr="003E6925" w:rsidRDefault="003E6925" w:rsidP="001C56E5">
      <w:pPr>
        <w:pStyle w:val="ListBullet3"/>
      </w:pPr>
      <w:r w:rsidRPr="003E6925">
        <w:t>Pre-conditions: The Clearing Member is not able to settle the trade(s).</w:t>
      </w:r>
    </w:p>
    <w:p w14:paraId="120912BA" w14:textId="77777777" w:rsidR="003E6925" w:rsidRPr="003E6925" w:rsidRDefault="003E6925" w:rsidP="001C56E5">
      <w:pPr>
        <w:pStyle w:val="ListBullet3"/>
      </w:pPr>
      <w:r w:rsidRPr="003E6925">
        <w:t>Post-conditions: Settlement of the trade.</w:t>
      </w:r>
    </w:p>
    <w:p w14:paraId="012017CE" w14:textId="77777777" w:rsidR="003E6925" w:rsidRPr="003E6925" w:rsidRDefault="003E6925" w:rsidP="001C56E5">
      <w:pPr>
        <w:pStyle w:val="ListBullet3"/>
      </w:pPr>
      <w:r w:rsidRPr="003E6925">
        <w:t>Role: CCP</w:t>
      </w:r>
    </w:p>
    <w:p w14:paraId="473DF015" w14:textId="77777777" w:rsidR="003E6925" w:rsidRPr="003E6925" w:rsidRDefault="003E6925" w:rsidP="001C56E5">
      <w:pPr>
        <w:pStyle w:val="BlockLabel"/>
      </w:pPr>
      <w:r w:rsidRPr="003E6925">
        <w:t>Reporting process (Out of scope):</w:t>
      </w:r>
    </w:p>
    <w:p w14:paraId="2E3042F4" w14:textId="77777777" w:rsidR="003E6925" w:rsidRPr="003E6925" w:rsidRDefault="003E6925" w:rsidP="001C56E5">
      <w:pPr>
        <w:pStyle w:val="ListBullet"/>
      </w:pPr>
      <w:r w:rsidRPr="003E6925">
        <w:t>Definition: Process by which CCPs provide reports on cash settlement information, on trade(s) that did not settle correctly at the settlement date, or on the valuation of the collateral posted by the clearing members.</w:t>
      </w:r>
    </w:p>
    <w:p w14:paraId="0C854A1C" w14:textId="77777777" w:rsidR="003E6925" w:rsidRPr="003E6925" w:rsidRDefault="003E6925" w:rsidP="001C56E5">
      <w:pPr>
        <w:pStyle w:val="ListBullet"/>
      </w:pPr>
      <w:r w:rsidRPr="003E6925">
        <w:t>Trigger: End of day milestones from all markets.</w:t>
      </w:r>
    </w:p>
    <w:p w14:paraId="7078C1E0" w14:textId="77777777" w:rsidR="003E6925" w:rsidRPr="003E6925" w:rsidRDefault="003E6925" w:rsidP="001C56E5">
      <w:pPr>
        <w:pStyle w:val="ListBullet"/>
      </w:pPr>
      <w:r w:rsidRPr="003E6925">
        <w:t>Pre-conditions: The CCP has received the report with all failed trades from the Central Securities Depository or the end of day process has generated reports that are sent out to the clearing members.</w:t>
      </w:r>
    </w:p>
    <w:p w14:paraId="63B2A6EF" w14:textId="77777777" w:rsidR="003E6925" w:rsidRPr="003E6925" w:rsidRDefault="003E6925" w:rsidP="001C56E5">
      <w:pPr>
        <w:pStyle w:val="ListBullet"/>
      </w:pPr>
      <w:r w:rsidRPr="003E6925">
        <w:t>Post-conditions: None</w:t>
      </w:r>
    </w:p>
    <w:p w14:paraId="57BB02B4" w14:textId="77777777" w:rsidR="003E6925" w:rsidRPr="003E6925" w:rsidRDefault="003E6925" w:rsidP="001C56E5">
      <w:pPr>
        <w:pStyle w:val="ListBullet"/>
      </w:pPr>
      <w:r w:rsidRPr="003E6925">
        <w:t>Role: CCP</w:t>
      </w:r>
    </w:p>
    <w:p w14:paraId="3C63921A" w14:textId="77777777" w:rsidR="003E6925" w:rsidRPr="003E6925" w:rsidRDefault="003E6925" w:rsidP="003E6925"/>
    <w:p w14:paraId="52E8B9B3" w14:textId="77777777" w:rsidR="003E6925" w:rsidRPr="003E6925" w:rsidRDefault="003E6925" w:rsidP="003E6925"/>
    <w:p w14:paraId="4528E217" w14:textId="77777777" w:rsidR="003E6925" w:rsidRPr="003E6925" w:rsidRDefault="003E6925" w:rsidP="003E6925">
      <w:r w:rsidRPr="003E6925">
        <w:br w:type="page"/>
      </w:r>
    </w:p>
    <w:p w14:paraId="4C7672EF" w14:textId="77777777" w:rsidR="003E6925" w:rsidRPr="00631CFA" w:rsidRDefault="003E6925" w:rsidP="003E6925">
      <w:pPr>
        <w:pStyle w:val="Heading1"/>
      </w:pPr>
      <w:bookmarkStart w:id="27" w:name="_Toc355789208"/>
      <w:bookmarkStart w:id="28" w:name="_Toc412636870"/>
      <w:bookmarkStart w:id="29" w:name="_Toc191756091"/>
      <w:r w:rsidRPr="00631CFA">
        <w:lastRenderedPageBreak/>
        <w:t xml:space="preserve">Description of </w:t>
      </w:r>
      <w:r w:rsidRPr="003E6925">
        <w:t>BusinessActivities</w:t>
      </w:r>
      <w:bookmarkEnd w:id="27"/>
      <w:bookmarkEnd w:id="28"/>
      <w:bookmarkEnd w:id="29"/>
    </w:p>
    <w:p w14:paraId="772407D9" w14:textId="77777777" w:rsidR="003E6925" w:rsidRPr="003E6925" w:rsidRDefault="003E6925" w:rsidP="003E6925">
      <w:r w:rsidRPr="003E6925">
        <w:t>This section presents the different BusinessActivities within each BusinessProcess. BusinessActivities of a process are described in swim lane diagrams and are referred in this document as activity diagrams.</w:t>
      </w:r>
    </w:p>
    <w:p w14:paraId="3C4E058C" w14:textId="77777777" w:rsidR="003E6925" w:rsidRPr="003E6925" w:rsidRDefault="003E6925" w:rsidP="003E6925">
      <w:r w:rsidRPr="003E6925">
        <w:t>The development of an activity diagram is part of the ISO 20022 modelling process and allows capturing the requirements.</w:t>
      </w:r>
    </w:p>
    <w:p w14:paraId="18378D20" w14:textId="77777777" w:rsidR="003E6925" w:rsidRPr="003E6925" w:rsidRDefault="003E6925" w:rsidP="003E6925">
      <w:r w:rsidRPr="003E6925">
        <w:t>The activity diagram provides a zoom-in on the BusinessActivities taking place during each of the BusinessProcesses described in Section 4. It also shows the BusinessActivities that are triggered when another BusinessActivity has a negative result.</w:t>
      </w:r>
    </w:p>
    <w:p w14:paraId="262DC01F" w14:textId="77777777" w:rsidR="003E6925" w:rsidRPr="003E6925" w:rsidRDefault="003E6925" w:rsidP="003E6925">
      <w:r w:rsidRPr="003E6925">
        <w:t>What is the activity diagram about?</w:t>
      </w:r>
    </w:p>
    <w:p w14:paraId="44302148" w14:textId="77777777" w:rsidR="003E6925" w:rsidRPr="003E6925" w:rsidRDefault="003E6925" w:rsidP="003E6925">
      <w:r w:rsidRPr="003E6925">
        <w:t>It is a diagram representing the ‘common lifecycle’ of a BusinessProcess</w:t>
      </w:r>
    </w:p>
    <w:p w14:paraId="05798D98" w14:textId="77777777" w:rsidR="003E6925" w:rsidRPr="003E6925" w:rsidRDefault="003E6925" w:rsidP="003E6925">
      <w:r w:rsidRPr="003E6925">
        <w:t xml:space="preserve">A start point </w:t>
      </w:r>
      <w:r w:rsidRPr="003E6925">
        <w:sym w:font="Wingdings" w:char="F06C"/>
      </w:r>
      <w:r w:rsidRPr="003E6925">
        <w:t xml:space="preserve"> shows where the lifecycle of the business process commences and the end points show </w:t>
      </w:r>
      <w:r w:rsidRPr="003E6925">
        <w:rPr>
          <w:noProof/>
        </w:rPr>
        <w:drawing>
          <wp:inline distT="0" distB="0" distL="0" distR="0" wp14:anchorId="57E835CE" wp14:editId="0264F3E9">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3"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3E6925">
        <w:t xml:space="preserve"> where the lifecycle may possibly end</w:t>
      </w:r>
    </w:p>
    <w:p w14:paraId="2339A9CE" w14:textId="77777777" w:rsidR="003E6925" w:rsidRPr="003E6925" w:rsidRDefault="003E6925" w:rsidP="003E6925">
      <w:r w:rsidRPr="003E6925">
        <w:rPr>
          <w:noProof/>
        </w:rPr>
        <mc:AlternateContent>
          <mc:Choice Requires="wps">
            <w:drawing>
              <wp:anchor distT="0" distB="0" distL="114300" distR="114300" simplePos="0" relativeHeight="251659264" behindDoc="0" locked="0" layoutInCell="1" allowOverlap="1" wp14:anchorId="75EDDD7A" wp14:editId="41567521">
                <wp:simplePos x="0" y="0"/>
                <wp:positionH relativeFrom="column">
                  <wp:posOffset>1068401</wp:posOffset>
                </wp:positionH>
                <wp:positionV relativeFrom="line">
                  <wp:posOffset>94615</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0E093B" id="_x0000_t4" coordsize="21600,21600" o:spt="4" path="m10800,l,10800,10800,21600,21600,10800xe">
                <v:stroke joinstyle="miter"/>
                <v:path gradientshapeok="t" o:connecttype="rect" textboxrect="5400,5400,16200,16200"/>
              </v:shapetype>
              <v:shape id="AutoShape 269" o:spid="_x0000_s1026" type="#_x0000_t4" style="position:absolute;margin-left:84.15pt;margin-top:7.4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">
                <v:textbox inset=".5mm,.3mm,.5mm,.3mm"/>
                <w10:wrap anchory="line"/>
              </v:shape>
            </w:pict>
          </mc:Fallback>
        </mc:AlternateContent>
      </w:r>
      <w:r w:rsidRPr="003E6925">
        <w:t>A lozenge      means a that a choice between several actions can be made</w:t>
      </w:r>
    </w:p>
    <w:p w14:paraId="76341667" w14:textId="77777777" w:rsidR="003E6925" w:rsidRPr="003E6925" w:rsidRDefault="003E6925" w:rsidP="003E6925">
      <w:r w:rsidRPr="003E6925">
        <w:t xml:space="preserve">A bar </w:t>
      </w:r>
      <w:r w:rsidRPr="003E6925">
        <w:rPr>
          <w:noProof/>
        </w:rPr>
        <w:drawing>
          <wp:inline distT="0" distB="0" distL="0" distR="0" wp14:anchorId="2CD83B72" wp14:editId="7E6D50B0">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3E6925">
        <w:t>means a that several actions are initiated in parallel</w:t>
      </w:r>
    </w:p>
    <w:p w14:paraId="474C7410" w14:textId="77777777" w:rsidR="003E6925" w:rsidRPr="003E6925" w:rsidRDefault="003E6925" w:rsidP="003E6925">
      <w:r w:rsidRPr="003E6925">
        <w:t>The flow of activities between the involved Participants (parties)</w:t>
      </w:r>
    </w:p>
    <w:p w14:paraId="5B0D7363" w14:textId="77777777" w:rsidR="003E6925" w:rsidRPr="003E6925" w:rsidRDefault="003E6925" w:rsidP="003E6925">
      <w:r w:rsidRPr="003E6925">
        <w:t>BusinessActivities may result in different actions, that is, information is conveyed from one party to another party.</w:t>
      </w:r>
    </w:p>
    <w:p w14:paraId="2E10742F" w14:textId="77777777" w:rsidR="003E6925" w:rsidRPr="003E6925" w:rsidRDefault="003E6925" w:rsidP="003E6925">
      <w:r w:rsidRPr="003E6925">
        <w:t>Both in scope and out of scope activities are included, with a different level of details. There are no information requirements for out of scope activities, except that they should be clearly identified in the diagram.</w:t>
      </w:r>
    </w:p>
    <w:p w14:paraId="4845F309" w14:textId="77777777" w:rsidR="003E6925" w:rsidRPr="003E6925" w:rsidRDefault="003E6925" w:rsidP="003E6925">
      <w:r w:rsidRPr="003E6925">
        <w:t>Activity diagrams are always accompanied with a text describing the BusinessActivities and their interactions.</w:t>
      </w:r>
    </w:p>
    <w:p w14:paraId="3E897071" w14:textId="77777777" w:rsidR="003E6925" w:rsidRPr="003E6925" w:rsidRDefault="003E6925" w:rsidP="003E6925"/>
    <w:p w14:paraId="39AB8687" w14:textId="77777777" w:rsidR="003E6925" w:rsidRPr="003E6925" w:rsidRDefault="003E6925" w:rsidP="003E6925">
      <w:bookmarkStart w:id="30" w:name="_Toc341196597"/>
      <w:bookmarkStart w:id="31" w:name="_Toc348941501"/>
      <w:bookmarkStart w:id="32" w:name="_Toc355789209"/>
      <w:r w:rsidRPr="003E6925">
        <w:br w:type="page"/>
      </w:r>
    </w:p>
    <w:p w14:paraId="0454BCF7" w14:textId="77777777" w:rsidR="003E6925" w:rsidRPr="003E6925" w:rsidRDefault="003E6925" w:rsidP="003E6925">
      <w:pPr>
        <w:pStyle w:val="Heading2"/>
      </w:pPr>
      <w:bookmarkStart w:id="33" w:name="_Toc412636871"/>
      <w:bookmarkStart w:id="34" w:name="_Toc191756092"/>
      <w:bookmarkEnd w:id="30"/>
      <w:bookmarkEnd w:id="31"/>
      <w:bookmarkEnd w:id="32"/>
      <w:r w:rsidRPr="003E6925">
        <w:lastRenderedPageBreak/>
        <w:t>BusinessProcess</w:t>
      </w:r>
      <w:r>
        <w:t xml:space="preserve"> - </w:t>
      </w:r>
      <w:r w:rsidRPr="00910A97">
        <w:t>Trade Management</w:t>
      </w:r>
      <w:bookmarkEnd w:id="33"/>
      <w:bookmarkEnd w:id="34"/>
    </w:p>
    <w:p w14:paraId="41E213FE" w14:textId="77777777" w:rsidR="003E6925" w:rsidRPr="003E6925" w:rsidRDefault="003E6925" w:rsidP="003E6925">
      <w:pPr>
        <w:pStyle w:val="Graphic"/>
      </w:pPr>
      <w:r w:rsidRPr="003E6925">
        <w:object w:dxaOrig="7500" w:dyaOrig="5610" w14:anchorId="348DB3F5">
          <v:shape id="_x0000_i1026" type="#_x0000_t75" style="width:353.25pt;height:264pt" o:ole="">
            <v:imagedata r:id="rId25" o:title=""/>
          </v:shape>
          <o:OLEObject Type="Embed" ProgID="Visio.Drawing.11" ShapeID="_x0000_i1026" DrawAspect="Content" ObjectID="_1802368853" r:id="rId26"/>
        </w:object>
      </w:r>
    </w:p>
    <w:p w14:paraId="1925BCF6" w14:textId="77777777" w:rsidR="003E6925" w:rsidRPr="00631CFA" w:rsidRDefault="003E6925" w:rsidP="003E69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4641"/>
      </w:tblGrid>
      <w:tr w:rsidR="003E6925" w:rsidRPr="00631CFA" w14:paraId="358DE10E" w14:textId="77777777" w:rsidTr="00A84E7C">
        <w:trPr>
          <w:tblHeader/>
        </w:trPr>
        <w:tc>
          <w:tcPr>
            <w:tcW w:w="9389"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57CED9FF" w14:textId="77777777" w:rsidR="003E6925" w:rsidRPr="003E6925" w:rsidRDefault="003E6925" w:rsidP="003E6925">
            <w:r w:rsidRPr="003E6925">
              <w:t>Descriptions of the BusinessActivities</w:t>
            </w:r>
          </w:p>
        </w:tc>
      </w:tr>
      <w:tr w:rsidR="003E6925" w:rsidRPr="00631CFA" w14:paraId="56318B05" w14:textId="77777777" w:rsidTr="00A84E7C">
        <w:trPr>
          <w:tblHeader/>
        </w:trPr>
        <w:tc>
          <w:tcPr>
            <w:tcW w:w="4698" w:type="dxa"/>
            <w:tcBorders>
              <w:top w:val="single" w:sz="4" w:space="0" w:color="auto"/>
              <w:left w:val="single" w:sz="4" w:space="0" w:color="auto"/>
              <w:bottom w:val="single" w:sz="4" w:space="0" w:color="auto"/>
              <w:right w:val="double" w:sz="4" w:space="0" w:color="auto"/>
            </w:tcBorders>
            <w:shd w:val="clear" w:color="auto" w:fill="E0E0E0"/>
          </w:tcPr>
          <w:p w14:paraId="1EFFB2A0" w14:textId="77777777" w:rsidR="003E6925" w:rsidRPr="003E6925" w:rsidRDefault="003E6925" w:rsidP="003E6925">
            <w:r w:rsidRPr="003E6925">
              <w:t>Central Counterparty (CCP)</w:t>
            </w:r>
          </w:p>
        </w:tc>
        <w:tc>
          <w:tcPr>
            <w:tcW w:w="4691" w:type="dxa"/>
            <w:tcBorders>
              <w:top w:val="single" w:sz="4" w:space="0" w:color="auto"/>
              <w:left w:val="double" w:sz="4" w:space="0" w:color="auto"/>
              <w:bottom w:val="single" w:sz="4" w:space="0" w:color="auto"/>
              <w:right w:val="single" w:sz="4" w:space="0" w:color="auto"/>
            </w:tcBorders>
            <w:shd w:val="clear" w:color="auto" w:fill="E0E0E0"/>
            <w:hideMark/>
          </w:tcPr>
          <w:p w14:paraId="5274641D" w14:textId="77777777" w:rsidR="003E6925" w:rsidRPr="003E6925" w:rsidRDefault="003E6925" w:rsidP="003E6925">
            <w:r w:rsidRPr="003E6925">
              <w:t>Clearing Member (CM)</w:t>
            </w:r>
          </w:p>
        </w:tc>
      </w:tr>
      <w:tr w:rsidR="003E6925" w:rsidRPr="00631CFA" w14:paraId="1A149146" w14:textId="77777777" w:rsidTr="00A84E7C">
        <w:tc>
          <w:tcPr>
            <w:tcW w:w="4698" w:type="dxa"/>
            <w:tcBorders>
              <w:top w:val="single" w:sz="4" w:space="0" w:color="auto"/>
              <w:left w:val="single" w:sz="4" w:space="0" w:color="auto"/>
              <w:bottom w:val="single" w:sz="4" w:space="0" w:color="auto"/>
              <w:right w:val="double" w:sz="4" w:space="0" w:color="auto"/>
            </w:tcBorders>
          </w:tcPr>
          <w:p w14:paraId="45AF1A87" w14:textId="77777777" w:rsidR="003E6925" w:rsidRPr="003E6925" w:rsidRDefault="003E6925" w:rsidP="003E6925">
            <w:r w:rsidRPr="003E6925">
              <w:t xml:space="preserve">Accept trade: </w:t>
            </w:r>
          </w:p>
          <w:p w14:paraId="69999378" w14:textId="77777777" w:rsidR="003E6925" w:rsidRPr="003E6925" w:rsidRDefault="003E6925" w:rsidP="003E6925">
            <w:r w:rsidRPr="003E6925">
              <w:t>After acceptance of a trade, the CCP splits the trade into two legs. The CCP becomes thus the counterparty of both the seller and the buyer.</w:t>
            </w:r>
          </w:p>
          <w:p w14:paraId="43BB480C" w14:textId="77777777" w:rsidR="003E6925" w:rsidRPr="003E6925" w:rsidRDefault="003E6925" w:rsidP="003E6925">
            <w:r w:rsidRPr="003E6925">
              <w:t>Generally, the buyer and the seller become anonymous (depending on the markets).</w:t>
            </w:r>
          </w:p>
          <w:p w14:paraId="02C7CBF4" w14:textId="77777777" w:rsidR="003E6925" w:rsidRPr="003E6925" w:rsidRDefault="003E6925" w:rsidP="003E6925">
            <w:r w:rsidRPr="003E6925">
              <w:t>At the end of the day (or during the day depending on each CCP’s internal process), the CCP reports a summary of all trades that occurred for a specific period in that day. This reporting can then be done intra-day or end of day.</w:t>
            </w:r>
          </w:p>
          <w:p w14:paraId="45E81014" w14:textId="77777777" w:rsidR="003E6925" w:rsidRPr="003E6925" w:rsidRDefault="003E6925" w:rsidP="003E6925"/>
        </w:tc>
        <w:tc>
          <w:tcPr>
            <w:tcW w:w="4691" w:type="dxa"/>
            <w:tcBorders>
              <w:top w:val="single" w:sz="4" w:space="0" w:color="auto"/>
              <w:left w:val="double" w:sz="4" w:space="0" w:color="auto"/>
              <w:bottom w:val="single" w:sz="4" w:space="0" w:color="auto"/>
              <w:right w:val="single" w:sz="4" w:space="0" w:color="auto"/>
            </w:tcBorders>
          </w:tcPr>
          <w:p w14:paraId="72BDB132" w14:textId="77777777" w:rsidR="003E6925" w:rsidRPr="003E6925" w:rsidRDefault="003E6925" w:rsidP="003E6925">
            <w:r w:rsidRPr="003E6925">
              <w:t xml:space="preserve">Process the trade information: </w:t>
            </w:r>
          </w:p>
          <w:p w14:paraId="7243CB83" w14:textId="77777777" w:rsidR="003E6925" w:rsidRPr="003E6925" w:rsidRDefault="003E6925" w:rsidP="003E6925">
            <w:r w:rsidRPr="003E6925">
              <w:t>Technical and business validation of the transaction before further processing.</w:t>
            </w:r>
          </w:p>
          <w:p w14:paraId="2DE366A3" w14:textId="77777777" w:rsidR="003E6925" w:rsidRPr="003E6925" w:rsidRDefault="003E6925" w:rsidP="003E6925">
            <w:r w:rsidRPr="003E6925">
              <w:t>There are two cases:</w:t>
            </w:r>
          </w:p>
          <w:p w14:paraId="07E55369" w14:textId="77777777" w:rsidR="003E6925" w:rsidRPr="003E6925" w:rsidRDefault="003E6925" w:rsidP="003E6925">
            <w:r w:rsidRPr="003E6925">
              <w:t>1) The CM receives trades from the CCP and from its Trading Member Firm. If the CM does not pair or match the trade received from the CCP with a trade received from a trading member firm, the CM contacts this trading member firm (out of scope).</w:t>
            </w:r>
          </w:p>
          <w:p w14:paraId="03BD8E9B" w14:textId="77777777" w:rsidR="003E6925" w:rsidRPr="003E6925" w:rsidRDefault="003E6925" w:rsidP="003E6925">
            <w:r w:rsidRPr="003E6925">
              <w:t>2) The CM only received trades from the CCP and in this case, the CM can never identify an incorrect trade (since the CM has not received the trade confirmation from the trading firm. No matching can be done).</w:t>
            </w:r>
          </w:p>
        </w:tc>
      </w:tr>
      <w:tr w:rsidR="003E6925" w:rsidRPr="00631CFA" w14:paraId="2ECF9A0E" w14:textId="77777777" w:rsidTr="00A84E7C">
        <w:tc>
          <w:tcPr>
            <w:tcW w:w="4698" w:type="dxa"/>
            <w:tcBorders>
              <w:top w:val="single" w:sz="4" w:space="0" w:color="auto"/>
              <w:left w:val="single" w:sz="4" w:space="0" w:color="auto"/>
              <w:bottom w:val="single" w:sz="4" w:space="0" w:color="auto"/>
              <w:right w:val="double" w:sz="4" w:space="0" w:color="auto"/>
            </w:tcBorders>
          </w:tcPr>
          <w:p w14:paraId="2215F06A" w14:textId="77777777" w:rsidR="003E6925" w:rsidRPr="003E6925" w:rsidRDefault="003E6925" w:rsidP="003E6925">
            <w:r w:rsidRPr="003E6925">
              <w:t>Did the trading venue (Exchange or MTF) send a cancellation?</w:t>
            </w:r>
          </w:p>
          <w:p w14:paraId="3EB4DF03" w14:textId="77777777" w:rsidR="003E6925" w:rsidRPr="003E6925" w:rsidRDefault="003E6925" w:rsidP="003E6925">
            <w:r w:rsidRPr="003E6925">
              <w:t>If NO, end of this process.</w:t>
            </w:r>
          </w:p>
          <w:p w14:paraId="3BDC3B06" w14:textId="77777777" w:rsidR="003E6925" w:rsidRPr="003E6925" w:rsidRDefault="003E6925" w:rsidP="003E6925">
            <w:r w:rsidRPr="003E6925">
              <w:t>If YES, the CCP cancels the trade leg.</w:t>
            </w:r>
          </w:p>
          <w:p w14:paraId="0AD13338" w14:textId="77777777" w:rsidR="003E6925" w:rsidRPr="003E6925" w:rsidRDefault="003E6925" w:rsidP="003E6925">
            <w:r w:rsidRPr="003E6925">
              <w:lastRenderedPageBreak/>
              <w:t>Note: Cancellations by the trading venue are very rare. However, arrangements between trading and clearing venues exist to send opposite trades instead of cancellation. In this case, it would then fall into the flow “Accept Trade” above.</w:t>
            </w:r>
          </w:p>
        </w:tc>
        <w:tc>
          <w:tcPr>
            <w:tcW w:w="4691" w:type="dxa"/>
            <w:tcBorders>
              <w:top w:val="single" w:sz="4" w:space="0" w:color="auto"/>
              <w:left w:val="double" w:sz="4" w:space="0" w:color="auto"/>
              <w:bottom w:val="single" w:sz="4" w:space="0" w:color="auto"/>
              <w:right w:val="single" w:sz="4" w:space="0" w:color="auto"/>
            </w:tcBorders>
          </w:tcPr>
          <w:p w14:paraId="16A69D40" w14:textId="77777777" w:rsidR="003E6925" w:rsidRPr="003E6925" w:rsidRDefault="003E6925" w:rsidP="003E6925">
            <w:r w:rsidRPr="003E6925">
              <w:lastRenderedPageBreak/>
              <w:t xml:space="preserve">Process cancellation: </w:t>
            </w:r>
          </w:p>
          <w:p w14:paraId="10EB52AE" w14:textId="77777777" w:rsidR="003E6925" w:rsidRPr="003E6925" w:rsidRDefault="003E6925" w:rsidP="003E6925">
            <w:r w:rsidRPr="003E6925">
              <w:t>Technical and business validation of the details of the cancellation.</w:t>
            </w:r>
          </w:p>
        </w:tc>
      </w:tr>
    </w:tbl>
    <w:p w14:paraId="6D55D171" w14:textId="77777777" w:rsidR="003E6925" w:rsidRPr="00631CFA" w:rsidRDefault="003E6925" w:rsidP="003E6925">
      <w:pPr>
        <w:pStyle w:val="Heading2"/>
      </w:pPr>
      <w:bookmarkStart w:id="35" w:name="_Toc412636872"/>
      <w:bookmarkStart w:id="36" w:name="_Toc191756093"/>
      <w:r w:rsidRPr="003E6925">
        <w:t>BusinessProcess</w:t>
      </w:r>
      <w:r>
        <w:t xml:space="preserve"> - Risk Management – Netting Process</w:t>
      </w:r>
      <w:bookmarkEnd w:id="35"/>
      <w:bookmarkEnd w:id="36"/>
    </w:p>
    <w:p w14:paraId="1050CB66" w14:textId="77777777" w:rsidR="003E6925" w:rsidRPr="003E6925" w:rsidRDefault="003E6925" w:rsidP="003E6925">
      <w:pPr>
        <w:pStyle w:val="Graphic"/>
      </w:pPr>
      <w:r w:rsidRPr="003E6925">
        <w:object w:dxaOrig="9300" w:dyaOrig="3240" w14:anchorId="3B3D9140">
          <v:shape id="_x0000_i1027" type="#_x0000_t75" style="width:465pt;height:162pt" o:ole="">
            <v:imagedata r:id="rId27" o:title=""/>
          </v:shape>
          <o:OLEObject Type="Embed" ProgID="Visio.Drawing.11" ShapeID="_x0000_i1027" DrawAspect="Content" ObjectID="_1802368854" r:id="rId28"/>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9"/>
        <w:gridCol w:w="4642"/>
      </w:tblGrid>
      <w:tr w:rsidR="003E6925" w:rsidRPr="00631CFA" w14:paraId="058F2741" w14:textId="77777777" w:rsidTr="00A84E7C">
        <w:trPr>
          <w:tblHeader/>
        </w:trPr>
        <w:tc>
          <w:tcPr>
            <w:tcW w:w="9389"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0697B88A" w14:textId="77777777" w:rsidR="003E6925" w:rsidRPr="003E6925" w:rsidRDefault="003E6925" w:rsidP="003E6925">
            <w:r w:rsidRPr="003E6925">
              <w:t>Descriptions of the BusinessActivities</w:t>
            </w:r>
          </w:p>
        </w:tc>
      </w:tr>
      <w:tr w:rsidR="003E6925" w:rsidRPr="00631CFA" w14:paraId="7A8679F7" w14:textId="77777777" w:rsidTr="00A84E7C">
        <w:trPr>
          <w:tblHeader/>
        </w:trPr>
        <w:tc>
          <w:tcPr>
            <w:tcW w:w="4698" w:type="dxa"/>
            <w:tcBorders>
              <w:top w:val="single" w:sz="4" w:space="0" w:color="auto"/>
              <w:left w:val="single" w:sz="4" w:space="0" w:color="auto"/>
              <w:bottom w:val="single" w:sz="4" w:space="0" w:color="auto"/>
              <w:right w:val="double" w:sz="4" w:space="0" w:color="auto"/>
            </w:tcBorders>
            <w:shd w:val="clear" w:color="auto" w:fill="E0E0E0"/>
          </w:tcPr>
          <w:p w14:paraId="5FE1A707" w14:textId="77777777" w:rsidR="003E6925" w:rsidRPr="003E6925" w:rsidRDefault="003E6925" w:rsidP="003E6925">
            <w:r w:rsidRPr="003E6925">
              <w:t>Central Counterparty (CCP)</w:t>
            </w:r>
          </w:p>
        </w:tc>
        <w:tc>
          <w:tcPr>
            <w:tcW w:w="4691" w:type="dxa"/>
            <w:tcBorders>
              <w:top w:val="single" w:sz="4" w:space="0" w:color="auto"/>
              <w:left w:val="double" w:sz="4" w:space="0" w:color="auto"/>
              <w:bottom w:val="single" w:sz="4" w:space="0" w:color="auto"/>
              <w:right w:val="single" w:sz="4" w:space="0" w:color="auto"/>
            </w:tcBorders>
            <w:shd w:val="clear" w:color="auto" w:fill="E0E0E0"/>
            <w:hideMark/>
          </w:tcPr>
          <w:p w14:paraId="6ED19D25" w14:textId="77777777" w:rsidR="003E6925" w:rsidRPr="003E6925" w:rsidRDefault="003E6925" w:rsidP="003E6925">
            <w:r w:rsidRPr="003E6925">
              <w:t>Clearing Member (CM)</w:t>
            </w:r>
          </w:p>
        </w:tc>
      </w:tr>
      <w:tr w:rsidR="003E6925" w:rsidRPr="001F1F66" w14:paraId="67094722" w14:textId="77777777" w:rsidTr="00A84E7C">
        <w:tc>
          <w:tcPr>
            <w:tcW w:w="4698" w:type="dxa"/>
            <w:tcBorders>
              <w:top w:val="single" w:sz="4" w:space="0" w:color="auto"/>
              <w:left w:val="single" w:sz="4" w:space="0" w:color="auto"/>
              <w:bottom w:val="single" w:sz="4" w:space="0" w:color="auto"/>
              <w:right w:val="double" w:sz="4" w:space="0" w:color="auto"/>
            </w:tcBorders>
          </w:tcPr>
          <w:p w14:paraId="1401FDBB" w14:textId="77777777" w:rsidR="003E6925" w:rsidRPr="003E6925" w:rsidRDefault="003E6925" w:rsidP="003E6925">
            <w:r w:rsidRPr="003E6925">
              <w:t>Milestone: End of real time session (EOD)</w:t>
            </w:r>
          </w:p>
          <w:p w14:paraId="2B6FB24C" w14:textId="77777777" w:rsidR="003E6925" w:rsidRPr="003E6925" w:rsidRDefault="003E6925" w:rsidP="003E6925">
            <w:r w:rsidRPr="003E6925">
              <w:t>Note: Some CCPs may request intraday margin based on provisional intraday net position.</w:t>
            </w:r>
          </w:p>
        </w:tc>
        <w:tc>
          <w:tcPr>
            <w:tcW w:w="4691" w:type="dxa"/>
            <w:tcBorders>
              <w:top w:val="single" w:sz="4" w:space="0" w:color="auto"/>
              <w:left w:val="double" w:sz="4" w:space="0" w:color="auto"/>
              <w:bottom w:val="single" w:sz="4" w:space="0" w:color="auto"/>
              <w:right w:val="single" w:sz="4" w:space="0" w:color="auto"/>
            </w:tcBorders>
          </w:tcPr>
          <w:p w14:paraId="7717CC65" w14:textId="77777777" w:rsidR="003E6925" w:rsidRPr="003E6925" w:rsidRDefault="003E6925" w:rsidP="003E6925">
            <w:r w:rsidRPr="003E6925">
              <w:t>The CM receives a business session status message (once all End of day milestones from all markets have been received) (out of scope).</w:t>
            </w:r>
          </w:p>
        </w:tc>
      </w:tr>
      <w:tr w:rsidR="003E6925" w:rsidRPr="00631CFA" w14:paraId="1252F23D" w14:textId="77777777" w:rsidTr="00A84E7C">
        <w:tc>
          <w:tcPr>
            <w:tcW w:w="4698" w:type="dxa"/>
            <w:tcBorders>
              <w:top w:val="single" w:sz="4" w:space="0" w:color="auto"/>
              <w:left w:val="single" w:sz="4" w:space="0" w:color="auto"/>
              <w:bottom w:val="single" w:sz="4" w:space="0" w:color="auto"/>
              <w:right w:val="double" w:sz="4" w:space="0" w:color="auto"/>
            </w:tcBorders>
          </w:tcPr>
          <w:p w14:paraId="69FADAB6" w14:textId="77777777" w:rsidR="003E6925" w:rsidRPr="003E6925" w:rsidRDefault="003E6925" w:rsidP="003E6925">
            <w:r w:rsidRPr="003E6925">
              <w:t xml:space="preserve">Position netting: </w:t>
            </w:r>
          </w:p>
          <w:p w14:paraId="57A55F84" w14:textId="77777777" w:rsidR="003E6925" w:rsidRPr="003E6925" w:rsidRDefault="003E6925" w:rsidP="003E6925">
            <w:r w:rsidRPr="003E6925">
              <w:t>The CCP nets all the positions (per margin account – house and client).</w:t>
            </w:r>
          </w:p>
        </w:tc>
        <w:tc>
          <w:tcPr>
            <w:tcW w:w="4691" w:type="dxa"/>
            <w:tcBorders>
              <w:top w:val="single" w:sz="4" w:space="0" w:color="auto"/>
              <w:left w:val="double" w:sz="4" w:space="0" w:color="auto"/>
              <w:bottom w:val="single" w:sz="4" w:space="0" w:color="auto"/>
              <w:right w:val="single" w:sz="4" w:space="0" w:color="auto"/>
            </w:tcBorders>
          </w:tcPr>
          <w:p w14:paraId="7E4E3E44" w14:textId="77777777" w:rsidR="003E6925" w:rsidRPr="003E6925" w:rsidRDefault="003E6925" w:rsidP="003E6925">
            <w:r w:rsidRPr="003E6925">
              <w:t xml:space="preserve">Process Information: </w:t>
            </w:r>
          </w:p>
          <w:p w14:paraId="1AB7A573" w14:textId="77777777" w:rsidR="003E6925" w:rsidRPr="003E6925" w:rsidRDefault="003E6925" w:rsidP="003E6925">
            <w:r w:rsidRPr="003E6925">
              <w:t>The CM is informed of the netting results and it reconciles its netting calculation with the CCP results (based on the netting parameters).</w:t>
            </w:r>
          </w:p>
        </w:tc>
      </w:tr>
    </w:tbl>
    <w:p w14:paraId="1323D040" w14:textId="77777777" w:rsidR="003E6925" w:rsidRDefault="003E6925" w:rsidP="003E6925">
      <w:pPr>
        <w:pStyle w:val="Heading2"/>
      </w:pPr>
      <w:bookmarkStart w:id="37" w:name="_Toc412636873"/>
      <w:bookmarkStart w:id="38" w:name="_Toc191756094"/>
      <w:r w:rsidRPr="003E6925">
        <w:lastRenderedPageBreak/>
        <w:t>BusinessProcess</w:t>
      </w:r>
      <w:r>
        <w:t xml:space="preserve"> - Risk Management – Margining Process</w:t>
      </w:r>
      <w:bookmarkEnd w:id="37"/>
      <w:bookmarkEnd w:id="38"/>
    </w:p>
    <w:p w14:paraId="5FF8E2AB" w14:textId="77777777" w:rsidR="003E6925" w:rsidRPr="003E6925" w:rsidRDefault="003E6925" w:rsidP="003E6925">
      <w:pPr>
        <w:pStyle w:val="Graphic"/>
      </w:pPr>
      <w:r w:rsidRPr="003E6925">
        <w:object w:dxaOrig="9300" w:dyaOrig="6255" w14:anchorId="43FA1685">
          <v:shape id="_x0000_i1028" type="#_x0000_t75" style="width:465pt;height:312.75pt" o:ole="">
            <v:imagedata r:id="rId29" o:title=""/>
          </v:shape>
          <o:OLEObject Type="Embed" ProgID="Visio.Drawing.11" ShapeID="_x0000_i1028" DrawAspect="Content" ObjectID="_1802368855" r:id="rId30"/>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9"/>
        <w:gridCol w:w="4642"/>
      </w:tblGrid>
      <w:tr w:rsidR="003E6925" w:rsidRPr="00631CFA" w14:paraId="65A17352" w14:textId="77777777" w:rsidTr="00A84E7C">
        <w:trPr>
          <w:tblHeader/>
        </w:trPr>
        <w:tc>
          <w:tcPr>
            <w:tcW w:w="9389"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6A1C9588" w14:textId="77777777" w:rsidR="003E6925" w:rsidRPr="003E6925" w:rsidRDefault="003E6925" w:rsidP="003E6925">
            <w:r w:rsidRPr="003E6925">
              <w:t>Descriptions of the BusinessActivities</w:t>
            </w:r>
          </w:p>
        </w:tc>
      </w:tr>
      <w:tr w:rsidR="003E6925" w:rsidRPr="00631CFA" w14:paraId="5622BF5B" w14:textId="77777777" w:rsidTr="00A84E7C">
        <w:trPr>
          <w:tblHeader/>
        </w:trPr>
        <w:tc>
          <w:tcPr>
            <w:tcW w:w="4698" w:type="dxa"/>
            <w:tcBorders>
              <w:top w:val="single" w:sz="4" w:space="0" w:color="auto"/>
              <w:left w:val="single" w:sz="4" w:space="0" w:color="auto"/>
              <w:bottom w:val="single" w:sz="4" w:space="0" w:color="auto"/>
              <w:right w:val="double" w:sz="4" w:space="0" w:color="auto"/>
            </w:tcBorders>
            <w:shd w:val="clear" w:color="auto" w:fill="E0E0E0"/>
          </w:tcPr>
          <w:p w14:paraId="7DD206B9" w14:textId="77777777" w:rsidR="003E6925" w:rsidRPr="003E6925" w:rsidRDefault="003E6925" w:rsidP="003E6925">
            <w:r w:rsidRPr="003E6925">
              <w:t>Central Counterparty (CCP)</w:t>
            </w:r>
          </w:p>
        </w:tc>
        <w:tc>
          <w:tcPr>
            <w:tcW w:w="4691" w:type="dxa"/>
            <w:tcBorders>
              <w:top w:val="single" w:sz="4" w:space="0" w:color="auto"/>
              <w:left w:val="double" w:sz="4" w:space="0" w:color="auto"/>
              <w:bottom w:val="single" w:sz="4" w:space="0" w:color="auto"/>
              <w:right w:val="single" w:sz="4" w:space="0" w:color="auto"/>
            </w:tcBorders>
            <w:shd w:val="clear" w:color="auto" w:fill="E0E0E0"/>
            <w:hideMark/>
          </w:tcPr>
          <w:p w14:paraId="7D58E3A9" w14:textId="77777777" w:rsidR="003E6925" w:rsidRPr="003E6925" w:rsidRDefault="003E6925" w:rsidP="003E6925">
            <w:r w:rsidRPr="003E6925">
              <w:t>Clearing Member (CM)</w:t>
            </w:r>
          </w:p>
        </w:tc>
      </w:tr>
      <w:tr w:rsidR="003E6925" w:rsidRPr="001F1F66" w14:paraId="318FCCED" w14:textId="77777777" w:rsidTr="00A84E7C">
        <w:tc>
          <w:tcPr>
            <w:tcW w:w="4698" w:type="dxa"/>
            <w:tcBorders>
              <w:top w:val="single" w:sz="4" w:space="0" w:color="auto"/>
              <w:left w:val="single" w:sz="4" w:space="0" w:color="auto"/>
              <w:bottom w:val="single" w:sz="4" w:space="0" w:color="auto"/>
              <w:right w:val="double" w:sz="4" w:space="0" w:color="auto"/>
            </w:tcBorders>
          </w:tcPr>
          <w:p w14:paraId="0E13F4BB" w14:textId="77777777" w:rsidR="003E6925" w:rsidRPr="003E6925" w:rsidRDefault="003E6925" w:rsidP="003E6925">
            <w:r w:rsidRPr="003E6925">
              <w:t xml:space="preserve">Calculate a risk: </w:t>
            </w:r>
          </w:p>
          <w:p w14:paraId="2EA06846" w14:textId="77777777" w:rsidR="003E6925" w:rsidRPr="003E6925" w:rsidRDefault="003E6925" w:rsidP="003E6925">
            <w:r w:rsidRPr="003E6925">
              <w:t>The CCP calculates the risk and sends a report to the CMs (with either the deficit or excess).</w:t>
            </w:r>
          </w:p>
          <w:p w14:paraId="5ACD2410" w14:textId="77777777" w:rsidR="003E6925" w:rsidRPr="003E6925" w:rsidRDefault="003E6925" w:rsidP="003E6925">
            <w:r w:rsidRPr="003E6925">
              <w:t xml:space="preserve">Note: This can be done at the end of the day or intraday. </w:t>
            </w:r>
          </w:p>
        </w:tc>
        <w:tc>
          <w:tcPr>
            <w:tcW w:w="4691" w:type="dxa"/>
            <w:tcBorders>
              <w:top w:val="single" w:sz="4" w:space="0" w:color="auto"/>
              <w:left w:val="double" w:sz="4" w:space="0" w:color="auto"/>
              <w:bottom w:val="single" w:sz="4" w:space="0" w:color="auto"/>
              <w:right w:val="single" w:sz="4" w:space="0" w:color="auto"/>
            </w:tcBorders>
          </w:tcPr>
          <w:p w14:paraId="0AED6377" w14:textId="77777777" w:rsidR="003E6925" w:rsidRPr="003E6925" w:rsidRDefault="003E6925" w:rsidP="003E6925">
            <w:r w:rsidRPr="003E6925">
              <w:t xml:space="preserve">Process information: </w:t>
            </w:r>
          </w:p>
          <w:p w14:paraId="500D840D" w14:textId="77777777" w:rsidR="003E6925" w:rsidRPr="003E6925" w:rsidRDefault="003E6925" w:rsidP="003E6925">
            <w:r w:rsidRPr="003E6925">
              <w:t>The CM reconciles its calculation with the CCP results (if possible, since the calculation comparison may be very difficult).</w:t>
            </w:r>
          </w:p>
        </w:tc>
      </w:tr>
      <w:tr w:rsidR="003E6925" w:rsidRPr="00631CFA" w14:paraId="0CDB03F7" w14:textId="77777777" w:rsidTr="00A84E7C">
        <w:tc>
          <w:tcPr>
            <w:tcW w:w="4698" w:type="dxa"/>
            <w:tcBorders>
              <w:top w:val="single" w:sz="4" w:space="0" w:color="auto"/>
              <w:left w:val="single" w:sz="4" w:space="0" w:color="auto"/>
              <w:bottom w:val="single" w:sz="4" w:space="0" w:color="auto"/>
              <w:right w:val="double" w:sz="4" w:space="0" w:color="auto"/>
            </w:tcBorders>
          </w:tcPr>
          <w:p w14:paraId="74B570A5" w14:textId="77777777" w:rsidR="003E6925" w:rsidRPr="003E6925" w:rsidRDefault="003E6925" w:rsidP="003E6925">
            <w:r w:rsidRPr="003E6925">
              <w:t xml:space="preserve">Margin call follow up: </w:t>
            </w:r>
          </w:p>
          <w:p w14:paraId="6FAF4DE5" w14:textId="77777777" w:rsidR="003E6925" w:rsidRPr="003E6925" w:rsidRDefault="003E6925" w:rsidP="003E6925">
            <w:r w:rsidRPr="003E6925">
              <w:t>After calculation of the initial or variation margin, the CCP requests or not the transfer of collateral (if the CM is in deficit, collateral is required).</w:t>
            </w:r>
          </w:p>
        </w:tc>
        <w:tc>
          <w:tcPr>
            <w:tcW w:w="4691" w:type="dxa"/>
            <w:tcBorders>
              <w:top w:val="single" w:sz="4" w:space="0" w:color="auto"/>
              <w:left w:val="double" w:sz="4" w:space="0" w:color="auto"/>
              <w:bottom w:val="single" w:sz="4" w:space="0" w:color="auto"/>
              <w:right w:val="single" w:sz="4" w:space="0" w:color="auto"/>
            </w:tcBorders>
          </w:tcPr>
          <w:p w14:paraId="334C3005" w14:textId="77777777" w:rsidR="003E6925" w:rsidRPr="003E6925" w:rsidRDefault="003E6925" w:rsidP="003E6925"/>
        </w:tc>
      </w:tr>
      <w:tr w:rsidR="003E6925" w:rsidRPr="00631CFA" w14:paraId="10CFDC79" w14:textId="77777777" w:rsidTr="00A84E7C">
        <w:tc>
          <w:tcPr>
            <w:tcW w:w="4698" w:type="dxa"/>
            <w:tcBorders>
              <w:top w:val="single" w:sz="4" w:space="0" w:color="auto"/>
              <w:left w:val="single" w:sz="4" w:space="0" w:color="auto"/>
              <w:bottom w:val="single" w:sz="4" w:space="0" w:color="auto"/>
              <w:right w:val="double" w:sz="4" w:space="0" w:color="auto"/>
            </w:tcBorders>
          </w:tcPr>
          <w:p w14:paraId="4933CD88" w14:textId="77777777" w:rsidR="003E6925" w:rsidRPr="003E6925" w:rsidRDefault="003E6925" w:rsidP="003E6925">
            <w:r w:rsidRPr="003E6925">
              <w:t>Scenario 1</w:t>
            </w:r>
          </w:p>
        </w:tc>
        <w:tc>
          <w:tcPr>
            <w:tcW w:w="4691" w:type="dxa"/>
            <w:tcBorders>
              <w:top w:val="single" w:sz="4" w:space="0" w:color="auto"/>
              <w:left w:val="double" w:sz="4" w:space="0" w:color="auto"/>
              <w:bottom w:val="single" w:sz="4" w:space="0" w:color="auto"/>
              <w:right w:val="single" w:sz="4" w:space="0" w:color="auto"/>
            </w:tcBorders>
          </w:tcPr>
          <w:p w14:paraId="6360BA16" w14:textId="77777777" w:rsidR="003E6925" w:rsidRPr="003E6925" w:rsidRDefault="003E6925" w:rsidP="003E6925"/>
        </w:tc>
      </w:tr>
      <w:tr w:rsidR="003E6925" w:rsidRPr="00631CFA" w14:paraId="733B7A07" w14:textId="77777777" w:rsidTr="00A84E7C">
        <w:tc>
          <w:tcPr>
            <w:tcW w:w="4698" w:type="dxa"/>
            <w:tcBorders>
              <w:top w:val="single" w:sz="4" w:space="0" w:color="auto"/>
              <w:left w:val="single" w:sz="4" w:space="0" w:color="auto"/>
              <w:bottom w:val="single" w:sz="4" w:space="0" w:color="auto"/>
              <w:right w:val="double" w:sz="4" w:space="0" w:color="auto"/>
            </w:tcBorders>
          </w:tcPr>
          <w:p w14:paraId="1149D8D0" w14:textId="77777777" w:rsidR="003E6925" w:rsidRPr="003E6925" w:rsidRDefault="003E6925" w:rsidP="003E6925">
            <w:r w:rsidRPr="003E6925">
              <w:t xml:space="preserve">Optional activity: </w:t>
            </w:r>
          </w:p>
          <w:p w14:paraId="590F68A5" w14:textId="77777777" w:rsidR="003E6925" w:rsidRPr="003E6925" w:rsidRDefault="003E6925" w:rsidP="003E6925">
            <w:r w:rsidRPr="003E6925">
              <w:lastRenderedPageBreak/>
              <w:t>When collateral is required, some CCPs may take cash automatically from the CM account (out of scope)</w:t>
            </w:r>
            <w:r w:rsidRPr="003E6925">
              <w:rPr>
                <w:rStyle w:val="FootnoteReference"/>
              </w:rPr>
              <w:footnoteReference w:id="2"/>
            </w:r>
            <w:r w:rsidRPr="003E6925">
              <w:t>.</w:t>
            </w:r>
          </w:p>
        </w:tc>
        <w:tc>
          <w:tcPr>
            <w:tcW w:w="4691" w:type="dxa"/>
            <w:tcBorders>
              <w:top w:val="single" w:sz="4" w:space="0" w:color="auto"/>
              <w:left w:val="double" w:sz="4" w:space="0" w:color="auto"/>
              <w:bottom w:val="single" w:sz="4" w:space="0" w:color="auto"/>
              <w:right w:val="single" w:sz="4" w:space="0" w:color="auto"/>
            </w:tcBorders>
          </w:tcPr>
          <w:p w14:paraId="3F2E6DEA" w14:textId="77777777" w:rsidR="003E6925" w:rsidRPr="003E6925" w:rsidRDefault="003E6925" w:rsidP="003E6925"/>
        </w:tc>
      </w:tr>
      <w:tr w:rsidR="003E6925" w:rsidRPr="00631CFA" w14:paraId="3D292C26" w14:textId="77777777" w:rsidTr="00A84E7C">
        <w:tc>
          <w:tcPr>
            <w:tcW w:w="4698" w:type="dxa"/>
            <w:tcBorders>
              <w:top w:val="single" w:sz="4" w:space="0" w:color="auto"/>
              <w:left w:val="single" w:sz="4" w:space="0" w:color="auto"/>
              <w:bottom w:val="single" w:sz="4" w:space="0" w:color="auto"/>
              <w:right w:val="double" w:sz="4" w:space="0" w:color="auto"/>
            </w:tcBorders>
          </w:tcPr>
          <w:p w14:paraId="4BC55E72" w14:textId="77777777" w:rsidR="003E6925" w:rsidRPr="003E6925" w:rsidRDefault="003E6925" w:rsidP="003E6925">
            <w:r w:rsidRPr="003E6925">
              <w:t>Scenario 2</w:t>
            </w:r>
          </w:p>
        </w:tc>
        <w:tc>
          <w:tcPr>
            <w:tcW w:w="4691" w:type="dxa"/>
            <w:tcBorders>
              <w:top w:val="single" w:sz="4" w:space="0" w:color="auto"/>
              <w:left w:val="double" w:sz="4" w:space="0" w:color="auto"/>
              <w:bottom w:val="single" w:sz="4" w:space="0" w:color="auto"/>
              <w:right w:val="single" w:sz="4" w:space="0" w:color="auto"/>
            </w:tcBorders>
          </w:tcPr>
          <w:p w14:paraId="6DC517A6" w14:textId="77777777" w:rsidR="003E6925" w:rsidRPr="003E6925" w:rsidRDefault="003E6925" w:rsidP="003E6925"/>
        </w:tc>
      </w:tr>
      <w:tr w:rsidR="003E6925" w:rsidRPr="00631CFA" w14:paraId="288552ED" w14:textId="77777777" w:rsidTr="00A84E7C">
        <w:tc>
          <w:tcPr>
            <w:tcW w:w="4698" w:type="dxa"/>
            <w:tcBorders>
              <w:top w:val="single" w:sz="4" w:space="0" w:color="auto"/>
              <w:left w:val="single" w:sz="4" w:space="0" w:color="auto"/>
              <w:bottom w:val="single" w:sz="4" w:space="0" w:color="auto"/>
              <w:right w:val="double" w:sz="4" w:space="0" w:color="auto"/>
            </w:tcBorders>
          </w:tcPr>
          <w:p w14:paraId="6F8F768F" w14:textId="77777777" w:rsidR="003E6925" w:rsidRPr="003E6925" w:rsidRDefault="003E6925" w:rsidP="003E6925">
            <w:r w:rsidRPr="003E6925">
              <w:t xml:space="preserve">Optional activity: </w:t>
            </w:r>
          </w:p>
          <w:p w14:paraId="6DC43419" w14:textId="77777777" w:rsidR="003E6925" w:rsidRPr="003E6925" w:rsidRDefault="003E6925" w:rsidP="003E6925">
            <w:r w:rsidRPr="003E6925">
              <w:t>CCPs may send a margin call request (this depends on each CCP’s internal rules).</w:t>
            </w:r>
          </w:p>
        </w:tc>
        <w:tc>
          <w:tcPr>
            <w:tcW w:w="4691" w:type="dxa"/>
            <w:tcBorders>
              <w:top w:val="single" w:sz="4" w:space="0" w:color="auto"/>
              <w:left w:val="double" w:sz="4" w:space="0" w:color="auto"/>
              <w:bottom w:val="single" w:sz="4" w:space="0" w:color="auto"/>
              <w:right w:val="single" w:sz="4" w:space="0" w:color="auto"/>
            </w:tcBorders>
          </w:tcPr>
          <w:p w14:paraId="1B0F8F81" w14:textId="77777777" w:rsidR="003E6925" w:rsidRPr="003E6925" w:rsidRDefault="003E6925" w:rsidP="003E6925">
            <w:r w:rsidRPr="003E6925">
              <w:t xml:space="preserve">Optional: </w:t>
            </w:r>
          </w:p>
          <w:p w14:paraId="3F011B69" w14:textId="77777777" w:rsidR="003E6925" w:rsidRPr="003E6925" w:rsidRDefault="003E6925" w:rsidP="003E6925">
            <w:r w:rsidRPr="003E6925">
              <w:t>Based on the margin call, the CM may propose to deliver specific collateral.</w:t>
            </w:r>
          </w:p>
        </w:tc>
      </w:tr>
      <w:tr w:rsidR="003E6925" w:rsidRPr="00631CFA" w14:paraId="488993A8" w14:textId="77777777" w:rsidTr="00A84E7C">
        <w:tc>
          <w:tcPr>
            <w:tcW w:w="4698" w:type="dxa"/>
            <w:tcBorders>
              <w:top w:val="single" w:sz="4" w:space="0" w:color="auto"/>
              <w:left w:val="single" w:sz="4" w:space="0" w:color="auto"/>
              <w:bottom w:val="single" w:sz="4" w:space="0" w:color="auto"/>
              <w:right w:val="double" w:sz="4" w:space="0" w:color="auto"/>
            </w:tcBorders>
          </w:tcPr>
          <w:p w14:paraId="1DCB2863" w14:textId="77777777" w:rsidR="003E6925" w:rsidRPr="003E6925" w:rsidRDefault="003E6925" w:rsidP="003E6925">
            <w:r w:rsidRPr="003E6925">
              <w:t>Collateral accepted?</w:t>
            </w:r>
          </w:p>
        </w:tc>
        <w:tc>
          <w:tcPr>
            <w:tcW w:w="4691" w:type="dxa"/>
            <w:tcBorders>
              <w:top w:val="single" w:sz="4" w:space="0" w:color="auto"/>
              <w:left w:val="double" w:sz="4" w:space="0" w:color="auto"/>
              <w:bottom w:val="single" w:sz="4" w:space="0" w:color="auto"/>
              <w:right w:val="single" w:sz="4" w:space="0" w:color="auto"/>
            </w:tcBorders>
          </w:tcPr>
          <w:p w14:paraId="15D93316" w14:textId="77777777" w:rsidR="003E6925" w:rsidRPr="003E6925" w:rsidRDefault="003E6925" w:rsidP="003E6925"/>
        </w:tc>
      </w:tr>
      <w:tr w:rsidR="003E6925" w:rsidRPr="00631CFA" w14:paraId="07496F9D" w14:textId="77777777" w:rsidTr="00A84E7C">
        <w:tc>
          <w:tcPr>
            <w:tcW w:w="4698" w:type="dxa"/>
            <w:tcBorders>
              <w:top w:val="single" w:sz="4" w:space="0" w:color="auto"/>
              <w:left w:val="single" w:sz="4" w:space="0" w:color="auto"/>
              <w:bottom w:val="single" w:sz="4" w:space="0" w:color="auto"/>
              <w:right w:val="double" w:sz="4" w:space="0" w:color="auto"/>
            </w:tcBorders>
          </w:tcPr>
          <w:p w14:paraId="60F26481" w14:textId="77777777" w:rsidR="003E6925" w:rsidRPr="003E6925" w:rsidRDefault="003E6925" w:rsidP="003E6925"/>
        </w:tc>
        <w:tc>
          <w:tcPr>
            <w:tcW w:w="4691" w:type="dxa"/>
            <w:tcBorders>
              <w:top w:val="single" w:sz="4" w:space="0" w:color="auto"/>
              <w:left w:val="double" w:sz="4" w:space="0" w:color="auto"/>
              <w:bottom w:val="single" w:sz="4" w:space="0" w:color="auto"/>
              <w:right w:val="single" w:sz="4" w:space="0" w:color="auto"/>
            </w:tcBorders>
          </w:tcPr>
          <w:p w14:paraId="4E0685D9" w14:textId="77777777" w:rsidR="003E6925" w:rsidRPr="003E6925" w:rsidRDefault="003E6925" w:rsidP="003E6925">
            <w:r w:rsidRPr="003E6925">
              <w:t>If Yes, deliver the securities/cash/other:</w:t>
            </w:r>
          </w:p>
          <w:p w14:paraId="6B49BFA1" w14:textId="77777777" w:rsidR="003E6925" w:rsidRPr="003E6925" w:rsidRDefault="003E6925" w:rsidP="003E6925">
            <w:r w:rsidRPr="003E6925">
              <w:t>The CM delivers the securities/cash accepted as new collateral (out of scope)</w:t>
            </w:r>
            <w:r w:rsidRPr="003E6925">
              <w:rPr>
                <w:rStyle w:val="FootnoteReference"/>
              </w:rPr>
              <w:footnoteReference w:id="3"/>
            </w:r>
            <w:r w:rsidRPr="003E6925">
              <w:t>.</w:t>
            </w:r>
          </w:p>
        </w:tc>
      </w:tr>
      <w:tr w:rsidR="003E6925" w:rsidRPr="00631CFA" w14:paraId="20DFE284" w14:textId="77777777" w:rsidTr="00A84E7C">
        <w:tc>
          <w:tcPr>
            <w:tcW w:w="4698" w:type="dxa"/>
            <w:tcBorders>
              <w:top w:val="single" w:sz="4" w:space="0" w:color="auto"/>
              <w:left w:val="single" w:sz="4" w:space="0" w:color="auto"/>
              <w:bottom w:val="single" w:sz="4" w:space="0" w:color="auto"/>
              <w:right w:val="double" w:sz="4" w:space="0" w:color="auto"/>
            </w:tcBorders>
          </w:tcPr>
          <w:p w14:paraId="274B91B5" w14:textId="77777777" w:rsidR="003E6925" w:rsidRPr="003E6925" w:rsidRDefault="003E6925" w:rsidP="003E6925">
            <w:r w:rsidRPr="003E6925">
              <w:t>If yes, receive the securities/cash/other:</w:t>
            </w:r>
          </w:p>
          <w:p w14:paraId="1921A506" w14:textId="77777777" w:rsidR="003E6925" w:rsidRPr="003E6925" w:rsidRDefault="003E6925" w:rsidP="003E6925">
            <w:r w:rsidRPr="003E6925">
              <w:t>The CCP receives the securities/cash accepted as new collateral (out of scope)</w:t>
            </w:r>
            <w:r w:rsidRPr="003E6925">
              <w:rPr>
                <w:rStyle w:val="FootnoteReference"/>
              </w:rPr>
              <w:footnoteReference w:id="4"/>
            </w:r>
            <w:r w:rsidRPr="003E6925">
              <w:t>.</w:t>
            </w:r>
          </w:p>
        </w:tc>
        <w:tc>
          <w:tcPr>
            <w:tcW w:w="4691" w:type="dxa"/>
            <w:tcBorders>
              <w:top w:val="single" w:sz="4" w:space="0" w:color="auto"/>
              <w:left w:val="double" w:sz="4" w:space="0" w:color="auto"/>
              <w:bottom w:val="single" w:sz="4" w:space="0" w:color="auto"/>
              <w:right w:val="single" w:sz="4" w:space="0" w:color="auto"/>
            </w:tcBorders>
          </w:tcPr>
          <w:p w14:paraId="3AC4899B" w14:textId="77777777" w:rsidR="003E6925" w:rsidRPr="003E6925" w:rsidRDefault="003E6925" w:rsidP="003E6925"/>
        </w:tc>
      </w:tr>
      <w:tr w:rsidR="003E6925" w:rsidRPr="00631CFA" w14:paraId="3AC752B0" w14:textId="77777777" w:rsidTr="00A84E7C">
        <w:tc>
          <w:tcPr>
            <w:tcW w:w="4698" w:type="dxa"/>
            <w:tcBorders>
              <w:top w:val="single" w:sz="4" w:space="0" w:color="auto"/>
              <w:left w:val="single" w:sz="4" w:space="0" w:color="auto"/>
              <w:bottom w:val="single" w:sz="4" w:space="0" w:color="auto"/>
              <w:right w:val="double" w:sz="4" w:space="0" w:color="auto"/>
            </w:tcBorders>
          </w:tcPr>
          <w:p w14:paraId="4801A850" w14:textId="77777777" w:rsidR="003E6925" w:rsidRPr="003E6925" w:rsidRDefault="003E6925" w:rsidP="003E6925">
            <w:r w:rsidRPr="003E6925">
              <w:t>If no, notify the CM</w:t>
            </w:r>
          </w:p>
        </w:tc>
        <w:tc>
          <w:tcPr>
            <w:tcW w:w="4691" w:type="dxa"/>
            <w:tcBorders>
              <w:top w:val="single" w:sz="4" w:space="0" w:color="auto"/>
              <w:left w:val="double" w:sz="4" w:space="0" w:color="auto"/>
              <w:bottom w:val="single" w:sz="4" w:space="0" w:color="auto"/>
              <w:right w:val="single" w:sz="4" w:space="0" w:color="auto"/>
            </w:tcBorders>
          </w:tcPr>
          <w:p w14:paraId="02A2CE0C" w14:textId="77777777" w:rsidR="003E6925" w:rsidRPr="003E6925" w:rsidRDefault="003E6925" w:rsidP="003E6925">
            <w:r w:rsidRPr="003E6925">
              <w:t>Propose new collateral?</w:t>
            </w:r>
          </w:p>
        </w:tc>
      </w:tr>
      <w:tr w:rsidR="003E6925" w:rsidRPr="00631CFA" w14:paraId="2E682359" w14:textId="77777777" w:rsidTr="00A84E7C">
        <w:tc>
          <w:tcPr>
            <w:tcW w:w="4698" w:type="dxa"/>
            <w:tcBorders>
              <w:top w:val="single" w:sz="4" w:space="0" w:color="auto"/>
              <w:left w:val="single" w:sz="4" w:space="0" w:color="auto"/>
              <w:bottom w:val="single" w:sz="4" w:space="0" w:color="auto"/>
              <w:right w:val="double" w:sz="4" w:space="0" w:color="auto"/>
            </w:tcBorders>
          </w:tcPr>
          <w:p w14:paraId="0BBC09DA" w14:textId="77777777" w:rsidR="003E6925" w:rsidRPr="003E6925" w:rsidRDefault="003E6925" w:rsidP="003E6925"/>
        </w:tc>
        <w:tc>
          <w:tcPr>
            <w:tcW w:w="4691" w:type="dxa"/>
            <w:tcBorders>
              <w:top w:val="single" w:sz="4" w:space="0" w:color="auto"/>
              <w:left w:val="double" w:sz="4" w:space="0" w:color="auto"/>
              <w:bottom w:val="single" w:sz="4" w:space="0" w:color="auto"/>
              <w:right w:val="single" w:sz="4" w:space="0" w:color="auto"/>
            </w:tcBorders>
          </w:tcPr>
          <w:p w14:paraId="47D2A77E" w14:textId="77777777" w:rsidR="003E6925" w:rsidRPr="003E6925" w:rsidRDefault="003E6925" w:rsidP="003E6925">
            <w:r w:rsidRPr="003E6925">
              <w:t>If Yes, then process starts again.</w:t>
            </w:r>
          </w:p>
          <w:p w14:paraId="7770688F" w14:textId="77777777" w:rsidR="003E6925" w:rsidRPr="003E6925" w:rsidRDefault="003E6925" w:rsidP="003E6925">
            <w:r w:rsidRPr="003E6925">
              <w:t>If No, then process ends.</w:t>
            </w:r>
          </w:p>
        </w:tc>
      </w:tr>
    </w:tbl>
    <w:p w14:paraId="6C20C84C" w14:textId="77777777" w:rsidR="003E6925" w:rsidRDefault="003E6925" w:rsidP="003E6925">
      <w:pPr>
        <w:pStyle w:val="Heading2"/>
      </w:pPr>
      <w:bookmarkStart w:id="39" w:name="_Toc412636874"/>
      <w:bookmarkStart w:id="40" w:name="_Toc191756095"/>
      <w:r w:rsidRPr="003E6925">
        <w:lastRenderedPageBreak/>
        <w:t>BusinessProcess</w:t>
      </w:r>
      <w:r>
        <w:t xml:space="preserve"> - Risk Management – Default Fund Contribution Process</w:t>
      </w:r>
      <w:bookmarkEnd w:id="39"/>
      <w:bookmarkEnd w:id="40"/>
    </w:p>
    <w:p w14:paraId="40B109F0" w14:textId="77777777" w:rsidR="003E6925" w:rsidRPr="003E6925" w:rsidRDefault="003E6925" w:rsidP="003E6925">
      <w:pPr>
        <w:pStyle w:val="Graphic"/>
      </w:pPr>
      <w:r w:rsidRPr="003E6925">
        <w:object w:dxaOrig="9300" w:dyaOrig="6360" w14:anchorId="6C3ED716">
          <v:shape id="_x0000_i1029" type="#_x0000_t75" style="width:450pt;height:308.25pt" o:ole="">
            <v:imagedata r:id="rId31" o:title=""/>
          </v:shape>
          <o:OLEObject Type="Embed" ProgID="Visio.Drawing.11" ShapeID="_x0000_i1029" DrawAspect="Content" ObjectID="_1802368856" r:id="rId32"/>
        </w:object>
      </w:r>
    </w:p>
    <w:p w14:paraId="62D71F9E" w14:textId="77777777" w:rsidR="003E6925" w:rsidRDefault="003E6925" w:rsidP="003E69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4641"/>
      </w:tblGrid>
      <w:tr w:rsidR="003E6925" w:rsidRPr="00631CFA" w14:paraId="7165F55F" w14:textId="77777777" w:rsidTr="00A84E7C">
        <w:trPr>
          <w:tblHeader/>
        </w:trPr>
        <w:tc>
          <w:tcPr>
            <w:tcW w:w="9389"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71E4CBA9" w14:textId="77777777" w:rsidR="003E6925" w:rsidRPr="003E6925" w:rsidRDefault="003E6925" w:rsidP="003E6925">
            <w:r w:rsidRPr="003E6925">
              <w:t>Descriptions of the BusinessActivities</w:t>
            </w:r>
          </w:p>
        </w:tc>
      </w:tr>
      <w:tr w:rsidR="003E6925" w:rsidRPr="00631CFA" w14:paraId="33D53B59" w14:textId="77777777" w:rsidTr="00A84E7C">
        <w:trPr>
          <w:tblHeader/>
        </w:trPr>
        <w:tc>
          <w:tcPr>
            <w:tcW w:w="4698" w:type="dxa"/>
            <w:tcBorders>
              <w:top w:val="single" w:sz="4" w:space="0" w:color="auto"/>
              <w:left w:val="single" w:sz="4" w:space="0" w:color="auto"/>
              <w:bottom w:val="single" w:sz="4" w:space="0" w:color="auto"/>
              <w:right w:val="double" w:sz="4" w:space="0" w:color="auto"/>
            </w:tcBorders>
            <w:shd w:val="clear" w:color="auto" w:fill="E0E0E0"/>
          </w:tcPr>
          <w:p w14:paraId="6F833BC3" w14:textId="77777777" w:rsidR="003E6925" w:rsidRPr="003E6925" w:rsidRDefault="003E6925" w:rsidP="003E6925">
            <w:r w:rsidRPr="003E6925">
              <w:t>Central Counterparty (CCP)</w:t>
            </w:r>
          </w:p>
        </w:tc>
        <w:tc>
          <w:tcPr>
            <w:tcW w:w="4691" w:type="dxa"/>
            <w:tcBorders>
              <w:top w:val="single" w:sz="4" w:space="0" w:color="auto"/>
              <w:left w:val="double" w:sz="4" w:space="0" w:color="auto"/>
              <w:bottom w:val="single" w:sz="4" w:space="0" w:color="auto"/>
              <w:right w:val="single" w:sz="4" w:space="0" w:color="auto"/>
            </w:tcBorders>
            <w:shd w:val="clear" w:color="auto" w:fill="E0E0E0"/>
            <w:hideMark/>
          </w:tcPr>
          <w:p w14:paraId="1898AA98" w14:textId="77777777" w:rsidR="003E6925" w:rsidRPr="003E6925" w:rsidRDefault="003E6925" w:rsidP="003E6925">
            <w:r w:rsidRPr="003E6925">
              <w:t>Clearing Member (CM)</w:t>
            </w:r>
          </w:p>
        </w:tc>
      </w:tr>
      <w:tr w:rsidR="003E6925" w:rsidRPr="001F1F66" w14:paraId="64C75586" w14:textId="77777777" w:rsidTr="00A84E7C">
        <w:tc>
          <w:tcPr>
            <w:tcW w:w="4698" w:type="dxa"/>
            <w:tcBorders>
              <w:top w:val="single" w:sz="4" w:space="0" w:color="auto"/>
              <w:left w:val="single" w:sz="4" w:space="0" w:color="auto"/>
              <w:bottom w:val="single" w:sz="4" w:space="0" w:color="auto"/>
              <w:right w:val="double" w:sz="4" w:space="0" w:color="auto"/>
            </w:tcBorders>
          </w:tcPr>
          <w:p w14:paraId="16528CAB" w14:textId="77777777" w:rsidR="003E6925" w:rsidRPr="003E6925" w:rsidRDefault="003E6925" w:rsidP="003E6925">
            <w:r w:rsidRPr="003E6925">
              <w:t xml:space="preserve">Assess participant risk level: </w:t>
            </w:r>
          </w:p>
          <w:p w14:paraId="77EB2C99" w14:textId="77777777" w:rsidR="003E6925" w:rsidRPr="003E6925" w:rsidRDefault="003E6925" w:rsidP="003E6925">
            <w:r w:rsidRPr="003E6925">
              <w:t>The CCP evaluates the risk level of each participant based on each participant’s position (daily or monthly).</w:t>
            </w:r>
          </w:p>
        </w:tc>
        <w:tc>
          <w:tcPr>
            <w:tcW w:w="4691" w:type="dxa"/>
            <w:tcBorders>
              <w:top w:val="single" w:sz="4" w:space="0" w:color="auto"/>
              <w:left w:val="double" w:sz="4" w:space="0" w:color="auto"/>
              <w:bottom w:val="single" w:sz="4" w:space="0" w:color="auto"/>
              <w:right w:val="single" w:sz="4" w:space="0" w:color="auto"/>
            </w:tcBorders>
          </w:tcPr>
          <w:p w14:paraId="141AD76E" w14:textId="77777777" w:rsidR="003E6925" w:rsidRPr="003E6925" w:rsidRDefault="003E6925" w:rsidP="003E6925"/>
        </w:tc>
      </w:tr>
      <w:tr w:rsidR="003E6925" w:rsidRPr="00631CFA" w14:paraId="67C4CCD8" w14:textId="77777777" w:rsidTr="00A84E7C">
        <w:tc>
          <w:tcPr>
            <w:tcW w:w="4698" w:type="dxa"/>
            <w:tcBorders>
              <w:top w:val="single" w:sz="4" w:space="0" w:color="auto"/>
              <w:left w:val="single" w:sz="4" w:space="0" w:color="auto"/>
              <w:bottom w:val="single" w:sz="4" w:space="0" w:color="auto"/>
              <w:right w:val="double" w:sz="4" w:space="0" w:color="auto"/>
            </w:tcBorders>
          </w:tcPr>
          <w:p w14:paraId="4E28E938" w14:textId="77777777" w:rsidR="003E6925" w:rsidRPr="003E6925" w:rsidRDefault="003E6925" w:rsidP="003E6925">
            <w:r w:rsidRPr="003E6925">
              <w:t xml:space="preserve">Calculate the default fund contribution: </w:t>
            </w:r>
          </w:p>
          <w:p w14:paraId="1287E6A2" w14:textId="77777777" w:rsidR="003E6925" w:rsidRPr="003E6925" w:rsidRDefault="003E6925" w:rsidP="003E6925">
            <w:r w:rsidRPr="003E6925">
              <w:t>Depending on the CCP’s internal rules, every day or once a month, the CCP calculates for each CM if the default fund contribution is sufficient or not.</w:t>
            </w:r>
          </w:p>
        </w:tc>
        <w:tc>
          <w:tcPr>
            <w:tcW w:w="4691" w:type="dxa"/>
            <w:tcBorders>
              <w:top w:val="single" w:sz="4" w:space="0" w:color="auto"/>
              <w:left w:val="double" w:sz="4" w:space="0" w:color="auto"/>
              <w:bottom w:val="single" w:sz="4" w:space="0" w:color="auto"/>
              <w:right w:val="single" w:sz="4" w:space="0" w:color="auto"/>
            </w:tcBorders>
          </w:tcPr>
          <w:p w14:paraId="02A78DCD" w14:textId="77777777" w:rsidR="003E6925" w:rsidRPr="003E6925" w:rsidRDefault="003E6925" w:rsidP="003E6925">
            <w:r w:rsidRPr="003E6925">
              <w:t xml:space="preserve">Process information: </w:t>
            </w:r>
          </w:p>
          <w:p w14:paraId="70F7A6BE" w14:textId="77777777" w:rsidR="003E6925" w:rsidRPr="003E6925" w:rsidRDefault="003E6925" w:rsidP="003E6925">
            <w:r w:rsidRPr="003E6925">
              <w:t>Internal validation of  the information.</w:t>
            </w:r>
          </w:p>
        </w:tc>
      </w:tr>
      <w:tr w:rsidR="003E6925" w:rsidRPr="00631CFA" w14:paraId="298B5544" w14:textId="77777777" w:rsidTr="00A84E7C">
        <w:tc>
          <w:tcPr>
            <w:tcW w:w="4698" w:type="dxa"/>
            <w:tcBorders>
              <w:top w:val="single" w:sz="4" w:space="0" w:color="auto"/>
              <w:left w:val="single" w:sz="4" w:space="0" w:color="auto"/>
              <w:bottom w:val="single" w:sz="4" w:space="0" w:color="auto"/>
              <w:right w:val="double" w:sz="4" w:space="0" w:color="auto"/>
            </w:tcBorders>
          </w:tcPr>
          <w:p w14:paraId="03F37B20" w14:textId="77777777" w:rsidR="003E6925" w:rsidRPr="003E6925" w:rsidRDefault="003E6925" w:rsidP="003E6925">
            <w:r w:rsidRPr="003E6925">
              <w:t>Sufficient? Yes/No</w:t>
            </w:r>
          </w:p>
        </w:tc>
        <w:tc>
          <w:tcPr>
            <w:tcW w:w="4691" w:type="dxa"/>
            <w:tcBorders>
              <w:top w:val="single" w:sz="4" w:space="0" w:color="auto"/>
              <w:left w:val="double" w:sz="4" w:space="0" w:color="auto"/>
              <w:bottom w:val="single" w:sz="4" w:space="0" w:color="auto"/>
              <w:right w:val="single" w:sz="4" w:space="0" w:color="auto"/>
            </w:tcBorders>
          </w:tcPr>
          <w:p w14:paraId="2EC72962" w14:textId="77777777" w:rsidR="003E6925" w:rsidRPr="003E6925" w:rsidRDefault="003E6925" w:rsidP="003E6925"/>
        </w:tc>
      </w:tr>
      <w:tr w:rsidR="003E6925" w:rsidRPr="00631CFA" w14:paraId="16622597" w14:textId="77777777" w:rsidTr="00A84E7C">
        <w:tc>
          <w:tcPr>
            <w:tcW w:w="4698" w:type="dxa"/>
            <w:tcBorders>
              <w:top w:val="single" w:sz="4" w:space="0" w:color="auto"/>
              <w:left w:val="single" w:sz="4" w:space="0" w:color="auto"/>
              <w:bottom w:val="single" w:sz="4" w:space="0" w:color="auto"/>
              <w:right w:val="double" w:sz="4" w:space="0" w:color="auto"/>
            </w:tcBorders>
          </w:tcPr>
          <w:p w14:paraId="6152E22D" w14:textId="77777777" w:rsidR="003E6925" w:rsidRPr="003E6925" w:rsidRDefault="003E6925" w:rsidP="003E6925">
            <w:r w:rsidRPr="003E6925">
              <w:t xml:space="preserve">If deficit: </w:t>
            </w:r>
          </w:p>
          <w:p w14:paraId="43BBB555" w14:textId="77777777" w:rsidR="003E6925" w:rsidRPr="003E6925" w:rsidRDefault="003E6925" w:rsidP="003E6925">
            <w:r w:rsidRPr="003E6925">
              <w:lastRenderedPageBreak/>
              <w:t>Either the CCP debits the CM account automatically or sends a payment instruction on behalf of the CM (if POA exists) - (out of scope)</w:t>
            </w:r>
            <w:r w:rsidRPr="003E6925">
              <w:rPr>
                <w:rStyle w:val="FootnoteReference"/>
              </w:rPr>
              <w:footnoteReference w:id="5"/>
            </w:r>
            <w:r w:rsidRPr="003E6925">
              <w:t>.</w:t>
            </w:r>
          </w:p>
          <w:p w14:paraId="132867AE" w14:textId="77777777" w:rsidR="003E6925" w:rsidRPr="003E6925" w:rsidRDefault="003E6925" w:rsidP="003E6925">
            <w:r w:rsidRPr="003E6925">
              <w:t>The CCP may also send a Margin Call Request (optional, depends on each CCP’s rules)</w:t>
            </w:r>
          </w:p>
          <w:p w14:paraId="101E43F9" w14:textId="77777777" w:rsidR="003E6925" w:rsidRPr="003E6925" w:rsidRDefault="003E6925" w:rsidP="003E6925">
            <w:r w:rsidRPr="003E6925">
              <w:t>If excess:</w:t>
            </w:r>
          </w:p>
          <w:p w14:paraId="74225F0D" w14:textId="77777777" w:rsidR="003E6925" w:rsidRPr="003E6925" w:rsidRDefault="003E6925" w:rsidP="003E6925">
            <w:r w:rsidRPr="003E6925">
              <w:t>The CCP may return part of the contribution.</w:t>
            </w:r>
          </w:p>
        </w:tc>
        <w:tc>
          <w:tcPr>
            <w:tcW w:w="4691" w:type="dxa"/>
            <w:tcBorders>
              <w:top w:val="single" w:sz="4" w:space="0" w:color="auto"/>
              <w:left w:val="double" w:sz="4" w:space="0" w:color="auto"/>
              <w:bottom w:val="single" w:sz="4" w:space="0" w:color="auto"/>
              <w:right w:val="single" w:sz="4" w:space="0" w:color="auto"/>
            </w:tcBorders>
          </w:tcPr>
          <w:p w14:paraId="65A56D62" w14:textId="77777777" w:rsidR="003E6925" w:rsidRPr="003E6925" w:rsidRDefault="003E6925" w:rsidP="003E6925"/>
        </w:tc>
      </w:tr>
    </w:tbl>
    <w:p w14:paraId="4E48D54A" w14:textId="77777777" w:rsidR="003E6925" w:rsidRDefault="003E6925" w:rsidP="003E6925">
      <w:pPr>
        <w:pStyle w:val="Heading2"/>
      </w:pPr>
      <w:bookmarkStart w:id="41" w:name="_Toc412636875"/>
      <w:bookmarkStart w:id="42" w:name="_Toc191756096"/>
      <w:r w:rsidRPr="003E6925">
        <w:lastRenderedPageBreak/>
        <w:t>BusinessProcess</w:t>
      </w:r>
      <w:r>
        <w:t xml:space="preserve"> - Settlement Management – Settlement Netting Process</w:t>
      </w:r>
      <w:bookmarkEnd w:id="41"/>
      <w:bookmarkEnd w:id="42"/>
    </w:p>
    <w:p w14:paraId="5B2B6401" w14:textId="77777777" w:rsidR="003E6925" w:rsidRPr="003E6925" w:rsidRDefault="003E6925" w:rsidP="003E6925">
      <w:pPr>
        <w:pStyle w:val="Graphic"/>
      </w:pPr>
      <w:r w:rsidRPr="003E6925">
        <w:object w:dxaOrig="8910" w:dyaOrig="8340" w14:anchorId="41CE60FA">
          <v:shape id="_x0000_i1030" type="#_x0000_t75" style="width:446.25pt;height:417pt" o:ole="">
            <v:imagedata r:id="rId33" o:title=""/>
          </v:shape>
          <o:OLEObject Type="Embed" ProgID="Visio.Drawing.11" ShapeID="_x0000_i1030" DrawAspect="Content" ObjectID="_1802368857" r:id="rId34"/>
        </w:object>
      </w:r>
    </w:p>
    <w:p w14:paraId="2AA85853" w14:textId="77777777" w:rsidR="003E6925" w:rsidRPr="00631CFA" w:rsidRDefault="003E6925" w:rsidP="003E69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3262"/>
        <w:gridCol w:w="2768"/>
      </w:tblGrid>
      <w:tr w:rsidR="003E6925" w:rsidRPr="00631CFA" w14:paraId="2215CDB1" w14:textId="77777777" w:rsidTr="00A84E7C">
        <w:trPr>
          <w:tblHeader/>
        </w:trPr>
        <w:tc>
          <w:tcPr>
            <w:tcW w:w="9515" w:type="dxa"/>
            <w:gridSpan w:val="3"/>
            <w:tcBorders>
              <w:top w:val="single" w:sz="4" w:space="0" w:color="auto"/>
              <w:left w:val="single" w:sz="4" w:space="0" w:color="auto"/>
              <w:bottom w:val="single" w:sz="4" w:space="0" w:color="auto"/>
              <w:right w:val="single" w:sz="4" w:space="0" w:color="auto"/>
            </w:tcBorders>
            <w:shd w:val="clear" w:color="auto" w:fill="E0E0E0"/>
            <w:hideMark/>
          </w:tcPr>
          <w:p w14:paraId="17513974" w14:textId="77777777" w:rsidR="003E6925" w:rsidRPr="003E6925" w:rsidRDefault="003E6925" w:rsidP="003E6925">
            <w:r w:rsidRPr="003E6925">
              <w:t>Descriptions of the BusinessActivities</w:t>
            </w:r>
          </w:p>
        </w:tc>
      </w:tr>
      <w:tr w:rsidR="003E6925" w:rsidRPr="00631CFA" w14:paraId="3B26C9D2" w14:textId="77777777" w:rsidTr="00A84E7C">
        <w:trPr>
          <w:tblHeader/>
        </w:trPr>
        <w:tc>
          <w:tcPr>
            <w:tcW w:w="3359" w:type="dxa"/>
            <w:tcBorders>
              <w:top w:val="single" w:sz="4" w:space="0" w:color="auto"/>
              <w:left w:val="single" w:sz="4" w:space="0" w:color="auto"/>
              <w:bottom w:val="single" w:sz="4" w:space="0" w:color="auto"/>
              <w:right w:val="double" w:sz="4" w:space="0" w:color="auto"/>
            </w:tcBorders>
            <w:shd w:val="clear" w:color="auto" w:fill="E0E0E0"/>
          </w:tcPr>
          <w:p w14:paraId="3980BBC5" w14:textId="77777777" w:rsidR="003E6925" w:rsidRPr="003E6925" w:rsidRDefault="003E6925" w:rsidP="003E6925">
            <w:r w:rsidRPr="003E6925">
              <w:t>Central Securities Depository (CSD)</w:t>
            </w:r>
          </w:p>
        </w:tc>
        <w:tc>
          <w:tcPr>
            <w:tcW w:w="3319" w:type="dxa"/>
            <w:tcBorders>
              <w:top w:val="single" w:sz="4" w:space="0" w:color="auto"/>
              <w:left w:val="double" w:sz="4" w:space="0" w:color="auto"/>
              <w:bottom w:val="single" w:sz="4" w:space="0" w:color="auto"/>
              <w:right w:val="single" w:sz="4" w:space="0" w:color="auto"/>
            </w:tcBorders>
            <w:shd w:val="clear" w:color="auto" w:fill="E0E0E0"/>
          </w:tcPr>
          <w:p w14:paraId="1AB03E73" w14:textId="77777777" w:rsidR="003E6925" w:rsidRPr="003E6925" w:rsidRDefault="003E6925" w:rsidP="003E6925">
            <w:r w:rsidRPr="003E6925">
              <w:t>Central Counterparty (CCP)</w:t>
            </w:r>
          </w:p>
        </w:tc>
        <w:tc>
          <w:tcPr>
            <w:tcW w:w="2837" w:type="dxa"/>
            <w:tcBorders>
              <w:top w:val="single" w:sz="4" w:space="0" w:color="auto"/>
              <w:left w:val="double" w:sz="4" w:space="0" w:color="auto"/>
              <w:bottom w:val="single" w:sz="4" w:space="0" w:color="auto"/>
              <w:right w:val="single" w:sz="4" w:space="0" w:color="auto"/>
            </w:tcBorders>
            <w:shd w:val="clear" w:color="auto" w:fill="E0E0E0"/>
          </w:tcPr>
          <w:p w14:paraId="765878FF" w14:textId="77777777" w:rsidR="003E6925" w:rsidRPr="003E6925" w:rsidRDefault="003E6925" w:rsidP="003E6925">
            <w:r w:rsidRPr="003E6925">
              <w:t>Clearing Member (CM)</w:t>
            </w:r>
          </w:p>
        </w:tc>
      </w:tr>
      <w:tr w:rsidR="003E6925" w:rsidRPr="001F1F66" w14:paraId="66CBB47D" w14:textId="77777777" w:rsidTr="00A84E7C">
        <w:tc>
          <w:tcPr>
            <w:tcW w:w="3359" w:type="dxa"/>
            <w:tcBorders>
              <w:top w:val="single" w:sz="4" w:space="0" w:color="auto"/>
              <w:left w:val="single" w:sz="4" w:space="0" w:color="auto"/>
              <w:bottom w:val="single" w:sz="4" w:space="0" w:color="auto"/>
              <w:right w:val="double" w:sz="4" w:space="0" w:color="auto"/>
            </w:tcBorders>
          </w:tcPr>
          <w:p w14:paraId="5A194871" w14:textId="77777777" w:rsidR="003E6925" w:rsidRPr="003E6925" w:rsidRDefault="003E6925" w:rsidP="003E6925">
            <w:r w:rsidRPr="003E6925">
              <w:t>Report the settlement results:</w:t>
            </w:r>
          </w:p>
          <w:p w14:paraId="16FCF803" w14:textId="77777777" w:rsidR="003E6925" w:rsidRPr="003E6925" w:rsidRDefault="003E6925" w:rsidP="003E6925">
            <w:r w:rsidRPr="003E6925">
              <w:t>The CSD sends the settlement result to the CCP (either the confirmation or pending or failed settlement).</w:t>
            </w:r>
          </w:p>
        </w:tc>
        <w:tc>
          <w:tcPr>
            <w:tcW w:w="3319" w:type="dxa"/>
            <w:tcBorders>
              <w:top w:val="single" w:sz="4" w:space="0" w:color="auto"/>
              <w:left w:val="double" w:sz="4" w:space="0" w:color="auto"/>
              <w:bottom w:val="single" w:sz="4" w:space="0" w:color="auto"/>
              <w:right w:val="single" w:sz="4" w:space="0" w:color="auto"/>
            </w:tcBorders>
          </w:tcPr>
          <w:p w14:paraId="01C34038" w14:textId="77777777" w:rsidR="003E6925" w:rsidRPr="003E6925" w:rsidRDefault="003E6925" w:rsidP="003E6925">
            <w:r w:rsidRPr="003E6925">
              <w:t>OPTIONAL</w:t>
            </w:r>
          </w:p>
          <w:p w14:paraId="3A834F81" w14:textId="77777777" w:rsidR="003E6925" w:rsidRPr="003E6925" w:rsidRDefault="003E6925" w:rsidP="003E6925">
            <w:r w:rsidRPr="003E6925">
              <w:t>Positions/Instructions update:</w:t>
            </w:r>
          </w:p>
          <w:p w14:paraId="5A8DD351" w14:textId="77777777" w:rsidR="003E6925" w:rsidRPr="003E6925" w:rsidRDefault="003E6925" w:rsidP="003E6925">
            <w:r w:rsidRPr="003E6925">
              <w:t>Based on the settlement result received from the CSD, the CCP updates the positions/instructions.</w:t>
            </w:r>
          </w:p>
        </w:tc>
        <w:tc>
          <w:tcPr>
            <w:tcW w:w="2837" w:type="dxa"/>
            <w:tcBorders>
              <w:top w:val="single" w:sz="4" w:space="0" w:color="auto"/>
              <w:left w:val="double" w:sz="4" w:space="0" w:color="auto"/>
              <w:bottom w:val="single" w:sz="4" w:space="0" w:color="auto"/>
              <w:right w:val="single" w:sz="4" w:space="0" w:color="auto"/>
            </w:tcBorders>
          </w:tcPr>
          <w:p w14:paraId="0DF0B7E6" w14:textId="77777777" w:rsidR="003E6925" w:rsidRPr="003E6925" w:rsidRDefault="003E6925" w:rsidP="003E6925"/>
        </w:tc>
      </w:tr>
      <w:tr w:rsidR="003E6925" w:rsidRPr="00631CFA" w14:paraId="19699CD7" w14:textId="77777777" w:rsidTr="00A84E7C">
        <w:tc>
          <w:tcPr>
            <w:tcW w:w="3359" w:type="dxa"/>
            <w:tcBorders>
              <w:top w:val="single" w:sz="4" w:space="0" w:color="auto"/>
              <w:left w:val="single" w:sz="4" w:space="0" w:color="auto"/>
              <w:bottom w:val="single" w:sz="4" w:space="0" w:color="auto"/>
              <w:right w:val="double" w:sz="4" w:space="0" w:color="auto"/>
            </w:tcBorders>
          </w:tcPr>
          <w:p w14:paraId="2FD8199F" w14:textId="77777777" w:rsidR="003E6925" w:rsidRPr="003E6925" w:rsidRDefault="003E6925" w:rsidP="003E6925"/>
        </w:tc>
        <w:tc>
          <w:tcPr>
            <w:tcW w:w="3319" w:type="dxa"/>
            <w:tcBorders>
              <w:top w:val="single" w:sz="4" w:space="0" w:color="auto"/>
              <w:left w:val="double" w:sz="4" w:space="0" w:color="auto"/>
              <w:bottom w:val="single" w:sz="4" w:space="0" w:color="auto"/>
              <w:right w:val="single" w:sz="4" w:space="0" w:color="auto"/>
            </w:tcBorders>
          </w:tcPr>
          <w:p w14:paraId="105BA60E" w14:textId="77777777" w:rsidR="003E6925" w:rsidRPr="003E6925" w:rsidRDefault="003E6925" w:rsidP="003E6925">
            <w:r w:rsidRPr="003E6925">
              <w:t>OPTIONAL</w:t>
            </w:r>
          </w:p>
          <w:p w14:paraId="26FE30E4" w14:textId="77777777" w:rsidR="003E6925" w:rsidRPr="003E6925" w:rsidRDefault="003E6925" w:rsidP="003E6925">
            <w:r w:rsidRPr="003E6925">
              <w:t xml:space="preserve">(some CCPs settle gross transactions) </w:t>
            </w:r>
          </w:p>
          <w:p w14:paraId="00A67173" w14:textId="77777777" w:rsidR="003E6925" w:rsidRPr="003E6925" w:rsidRDefault="003E6925" w:rsidP="003E6925">
            <w:r w:rsidRPr="003E6925">
              <w:t>CCP does trade netting</w:t>
            </w:r>
          </w:p>
        </w:tc>
        <w:tc>
          <w:tcPr>
            <w:tcW w:w="2837" w:type="dxa"/>
            <w:tcBorders>
              <w:top w:val="single" w:sz="4" w:space="0" w:color="auto"/>
              <w:left w:val="double" w:sz="4" w:space="0" w:color="auto"/>
              <w:bottom w:val="single" w:sz="4" w:space="0" w:color="auto"/>
              <w:right w:val="single" w:sz="4" w:space="0" w:color="auto"/>
            </w:tcBorders>
          </w:tcPr>
          <w:p w14:paraId="0C5AFB5C" w14:textId="77777777" w:rsidR="003E6925" w:rsidRPr="003E6925" w:rsidRDefault="003E6925" w:rsidP="003E6925"/>
        </w:tc>
      </w:tr>
      <w:tr w:rsidR="003E6925" w:rsidRPr="009331A1" w14:paraId="773C2BBD" w14:textId="77777777" w:rsidTr="00A84E7C">
        <w:tc>
          <w:tcPr>
            <w:tcW w:w="3359" w:type="dxa"/>
            <w:tcBorders>
              <w:top w:val="single" w:sz="4" w:space="0" w:color="auto"/>
              <w:left w:val="single" w:sz="4" w:space="0" w:color="auto"/>
              <w:bottom w:val="single" w:sz="4" w:space="0" w:color="auto"/>
              <w:right w:val="double" w:sz="4" w:space="0" w:color="auto"/>
            </w:tcBorders>
          </w:tcPr>
          <w:p w14:paraId="03B2ADBA" w14:textId="77777777" w:rsidR="003E6925" w:rsidRPr="003E6925" w:rsidRDefault="003E6925" w:rsidP="003E6925">
            <w:r w:rsidRPr="003E6925">
              <w:t xml:space="preserve">Report the list of Corporate Events: </w:t>
            </w:r>
          </w:p>
          <w:p w14:paraId="78BF6A95" w14:textId="77777777" w:rsidR="003E6925" w:rsidRPr="003E6925" w:rsidRDefault="003E6925" w:rsidP="003E6925">
            <w:r w:rsidRPr="003E6925">
              <w:t>The CSD sends the list of all corporate events (CEs) that are announced.</w:t>
            </w:r>
          </w:p>
        </w:tc>
        <w:tc>
          <w:tcPr>
            <w:tcW w:w="3319" w:type="dxa"/>
            <w:tcBorders>
              <w:top w:val="single" w:sz="4" w:space="0" w:color="auto"/>
              <w:left w:val="double" w:sz="4" w:space="0" w:color="auto"/>
              <w:bottom w:val="single" w:sz="4" w:space="0" w:color="auto"/>
              <w:right w:val="single" w:sz="4" w:space="0" w:color="auto"/>
            </w:tcBorders>
          </w:tcPr>
          <w:p w14:paraId="6268CC8D" w14:textId="77777777" w:rsidR="003E6925" w:rsidRPr="003E6925" w:rsidRDefault="003E6925" w:rsidP="003E6925">
            <w:r w:rsidRPr="003E6925">
              <w:t>OPTIONAL</w:t>
            </w:r>
          </w:p>
          <w:p w14:paraId="697C2D8A" w14:textId="77777777" w:rsidR="003E6925" w:rsidRPr="003E6925" w:rsidRDefault="003E6925" w:rsidP="003E6925">
            <w:r w:rsidRPr="003E6925">
              <w:t xml:space="preserve">Based on the list of corporate events received from the CSD, the CCP selects those related to the positions/instructions. </w:t>
            </w:r>
          </w:p>
          <w:p w14:paraId="5BEBEBAF" w14:textId="77777777" w:rsidR="003E6925" w:rsidRPr="003E6925" w:rsidRDefault="003E6925" w:rsidP="003E6925">
            <w:r w:rsidRPr="003E6925">
              <w:t>The CCP will also apply these CEs to the impacted positions/instructions.</w:t>
            </w:r>
          </w:p>
        </w:tc>
        <w:tc>
          <w:tcPr>
            <w:tcW w:w="2837" w:type="dxa"/>
            <w:tcBorders>
              <w:top w:val="single" w:sz="4" w:space="0" w:color="auto"/>
              <w:left w:val="double" w:sz="4" w:space="0" w:color="auto"/>
              <w:bottom w:val="single" w:sz="4" w:space="0" w:color="auto"/>
              <w:right w:val="single" w:sz="4" w:space="0" w:color="auto"/>
            </w:tcBorders>
          </w:tcPr>
          <w:p w14:paraId="04BD8FA4" w14:textId="77777777" w:rsidR="003E6925" w:rsidRPr="003E6925" w:rsidRDefault="003E6925" w:rsidP="003E6925"/>
        </w:tc>
      </w:tr>
      <w:tr w:rsidR="003E6925" w:rsidRPr="009331A1" w14:paraId="7D446109" w14:textId="77777777" w:rsidTr="00A84E7C">
        <w:tc>
          <w:tcPr>
            <w:tcW w:w="3359" w:type="dxa"/>
            <w:tcBorders>
              <w:top w:val="single" w:sz="4" w:space="0" w:color="auto"/>
              <w:left w:val="single" w:sz="4" w:space="0" w:color="auto"/>
              <w:bottom w:val="single" w:sz="4" w:space="0" w:color="auto"/>
              <w:right w:val="double" w:sz="4" w:space="0" w:color="auto"/>
            </w:tcBorders>
          </w:tcPr>
          <w:p w14:paraId="5A66F575" w14:textId="77777777" w:rsidR="003E6925" w:rsidRPr="003E6925" w:rsidRDefault="003E6925" w:rsidP="003E6925"/>
        </w:tc>
        <w:tc>
          <w:tcPr>
            <w:tcW w:w="3319" w:type="dxa"/>
            <w:tcBorders>
              <w:top w:val="single" w:sz="4" w:space="0" w:color="auto"/>
              <w:left w:val="double" w:sz="4" w:space="0" w:color="auto"/>
              <w:bottom w:val="single" w:sz="4" w:space="0" w:color="auto"/>
              <w:right w:val="single" w:sz="4" w:space="0" w:color="auto"/>
            </w:tcBorders>
          </w:tcPr>
          <w:p w14:paraId="3AE376D3" w14:textId="77777777" w:rsidR="003E6925" w:rsidRPr="003E6925" w:rsidRDefault="003E6925" w:rsidP="003E6925">
            <w:r w:rsidRPr="003E6925">
              <w:t>Settlement Instructions:</w:t>
            </w:r>
          </w:p>
          <w:p w14:paraId="43525704" w14:textId="77777777" w:rsidR="003E6925" w:rsidRPr="003E6925" w:rsidRDefault="003E6925" w:rsidP="003E6925">
            <w:r w:rsidRPr="003E6925">
              <w:t>The CCP builds and sends all settlement instructions to the CSD and settlement obligations to clearing members.</w:t>
            </w:r>
          </w:p>
        </w:tc>
        <w:tc>
          <w:tcPr>
            <w:tcW w:w="2837" w:type="dxa"/>
            <w:tcBorders>
              <w:top w:val="single" w:sz="4" w:space="0" w:color="auto"/>
              <w:left w:val="double" w:sz="4" w:space="0" w:color="auto"/>
              <w:bottom w:val="single" w:sz="4" w:space="0" w:color="auto"/>
              <w:right w:val="single" w:sz="4" w:space="0" w:color="auto"/>
            </w:tcBorders>
          </w:tcPr>
          <w:p w14:paraId="48E1108A" w14:textId="77777777" w:rsidR="003E6925" w:rsidRPr="003E6925" w:rsidRDefault="003E6925" w:rsidP="003E6925"/>
        </w:tc>
      </w:tr>
      <w:tr w:rsidR="003E6925" w:rsidRPr="009331A1" w14:paraId="1BCE8DB7" w14:textId="77777777" w:rsidTr="00A84E7C">
        <w:tc>
          <w:tcPr>
            <w:tcW w:w="3359" w:type="dxa"/>
            <w:tcBorders>
              <w:top w:val="single" w:sz="4" w:space="0" w:color="auto"/>
              <w:left w:val="single" w:sz="4" w:space="0" w:color="auto"/>
              <w:bottom w:val="single" w:sz="4" w:space="0" w:color="auto"/>
              <w:right w:val="double" w:sz="4" w:space="0" w:color="auto"/>
            </w:tcBorders>
          </w:tcPr>
          <w:p w14:paraId="434B8D7B" w14:textId="77777777" w:rsidR="003E6925" w:rsidRPr="003E6925" w:rsidRDefault="003E6925" w:rsidP="003E6925">
            <w:r w:rsidRPr="003E6925">
              <w:t>Process the instruction:</w:t>
            </w:r>
          </w:p>
          <w:p w14:paraId="447F8139" w14:textId="77777777" w:rsidR="003E6925" w:rsidRPr="003E6925" w:rsidRDefault="003E6925" w:rsidP="003E6925">
            <w:r w:rsidRPr="003E6925">
              <w:t>The CSD processes the settlement instructions.</w:t>
            </w:r>
          </w:p>
          <w:p w14:paraId="6A8D43DE" w14:textId="77777777" w:rsidR="003E6925" w:rsidRPr="003E6925" w:rsidRDefault="003E6925" w:rsidP="003E6925"/>
        </w:tc>
        <w:tc>
          <w:tcPr>
            <w:tcW w:w="3319" w:type="dxa"/>
            <w:tcBorders>
              <w:top w:val="single" w:sz="4" w:space="0" w:color="auto"/>
              <w:left w:val="double" w:sz="4" w:space="0" w:color="auto"/>
              <w:bottom w:val="single" w:sz="4" w:space="0" w:color="auto"/>
              <w:right w:val="single" w:sz="4" w:space="0" w:color="auto"/>
            </w:tcBorders>
          </w:tcPr>
          <w:p w14:paraId="48718586" w14:textId="77777777" w:rsidR="003E6925" w:rsidRPr="003E6925" w:rsidRDefault="003E6925" w:rsidP="003E6925"/>
        </w:tc>
        <w:tc>
          <w:tcPr>
            <w:tcW w:w="2837" w:type="dxa"/>
            <w:tcBorders>
              <w:top w:val="single" w:sz="4" w:space="0" w:color="auto"/>
              <w:left w:val="double" w:sz="4" w:space="0" w:color="auto"/>
              <w:bottom w:val="single" w:sz="4" w:space="0" w:color="auto"/>
              <w:right w:val="single" w:sz="4" w:space="0" w:color="auto"/>
            </w:tcBorders>
          </w:tcPr>
          <w:p w14:paraId="461C3268" w14:textId="77777777" w:rsidR="003E6925" w:rsidRPr="003E6925" w:rsidRDefault="003E6925" w:rsidP="003E6925">
            <w:r w:rsidRPr="003E6925">
              <w:t>Process the information:</w:t>
            </w:r>
          </w:p>
          <w:p w14:paraId="42C6999F" w14:textId="77777777" w:rsidR="003E6925" w:rsidRPr="003E6925" w:rsidRDefault="003E6925" w:rsidP="003E6925">
            <w:r w:rsidRPr="003E6925">
              <w:t>The CMs will send the settlement instructions to their paying agent unless they have signed a power of attorney with the central counterparty.</w:t>
            </w:r>
          </w:p>
          <w:p w14:paraId="58003A6F" w14:textId="77777777" w:rsidR="003E6925" w:rsidRPr="003E6925" w:rsidRDefault="003E6925" w:rsidP="003E6925">
            <w:r w:rsidRPr="003E6925">
              <w:t>In the latter case, the CCP is responsible for sending the settlement instructions to the CSD on behalf of the CM.</w:t>
            </w:r>
          </w:p>
        </w:tc>
      </w:tr>
      <w:tr w:rsidR="003E6925" w:rsidRPr="009331A1" w14:paraId="64289830" w14:textId="77777777" w:rsidTr="00A84E7C">
        <w:tc>
          <w:tcPr>
            <w:tcW w:w="3359" w:type="dxa"/>
            <w:tcBorders>
              <w:top w:val="single" w:sz="4" w:space="0" w:color="auto"/>
              <w:left w:val="single" w:sz="4" w:space="0" w:color="auto"/>
              <w:bottom w:val="single" w:sz="4" w:space="0" w:color="auto"/>
              <w:right w:val="double" w:sz="4" w:space="0" w:color="auto"/>
            </w:tcBorders>
          </w:tcPr>
          <w:p w14:paraId="5E1F73B4" w14:textId="77777777" w:rsidR="003E6925" w:rsidRPr="003E6925" w:rsidRDefault="003E6925" w:rsidP="003E6925">
            <w:r w:rsidRPr="003E6925">
              <w:t>Failed Trades:</w:t>
            </w:r>
          </w:p>
          <w:p w14:paraId="77A6B281" w14:textId="77777777" w:rsidR="003E6925" w:rsidRPr="003E6925" w:rsidRDefault="003E6925" w:rsidP="003E6925">
            <w:r w:rsidRPr="003E6925">
              <w:t>The CSD sends a report with all failed trades and the CCPs will also report these failed trades if the GCM is not part of the settlement chain.</w:t>
            </w:r>
          </w:p>
        </w:tc>
        <w:tc>
          <w:tcPr>
            <w:tcW w:w="3319" w:type="dxa"/>
            <w:tcBorders>
              <w:top w:val="single" w:sz="4" w:space="0" w:color="auto"/>
              <w:left w:val="double" w:sz="4" w:space="0" w:color="auto"/>
              <w:bottom w:val="single" w:sz="4" w:space="0" w:color="auto"/>
              <w:right w:val="single" w:sz="4" w:space="0" w:color="auto"/>
            </w:tcBorders>
          </w:tcPr>
          <w:p w14:paraId="511AF134" w14:textId="77777777" w:rsidR="003E6925" w:rsidRPr="003E6925" w:rsidRDefault="003E6925" w:rsidP="003E6925"/>
        </w:tc>
        <w:tc>
          <w:tcPr>
            <w:tcW w:w="2837" w:type="dxa"/>
            <w:tcBorders>
              <w:top w:val="single" w:sz="4" w:space="0" w:color="auto"/>
              <w:left w:val="double" w:sz="4" w:space="0" w:color="auto"/>
              <w:bottom w:val="single" w:sz="4" w:space="0" w:color="auto"/>
              <w:right w:val="single" w:sz="4" w:space="0" w:color="auto"/>
            </w:tcBorders>
          </w:tcPr>
          <w:p w14:paraId="11A438ED" w14:textId="77777777" w:rsidR="003E6925" w:rsidRPr="003E6925" w:rsidRDefault="003E6925" w:rsidP="003E6925"/>
        </w:tc>
      </w:tr>
    </w:tbl>
    <w:p w14:paraId="04635D35" w14:textId="77777777" w:rsidR="003E6925" w:rsidRDefault="003E6925" w:rsidP="003E6925">
      <w:pPr>
        <w:pStyle w:val="Heading2"/>
      </w:pPr>
      <w:bookmarkStart w:id="43" w:name="_Toc412636876"/>
      <w:bookmarkStart w:id="44" w:name="_Toc191756097"/>
      <w:r>
        <w:lastRenderedPageBreak/>
        <w:t>Settlement Management – Buy-In Process</w:t>
      </w:r>
      <w:bookmarkEnd w:id="43"/>
      <w:bookmarkEnd w:id="44"/>
    </w:p>
    <w:p w14:paraId="72FB5FB7" w14:textId="77777777" w:rsidR="003E6925" w:rsidRPr="003E6925" w:rsidRDefault="003E6925" w:rsidP="003E6925">
      <w:pPr>
        <w:pStyle w:val="Graphic"/>
      </w:pPr>
      <w:r w:rsidRPr="003E6925">
        <w:object w:dxaOrig="8730" w:dyaOrig="8775" w14:anchorId="256B2592">
          <v:shape id="_x0000_i1031" type="#_x0000_t75" style="width:438pt;height:438.75pt" o:ole="">
            <v:imagedata r:id="rId35" o:title=""/>
          </v:shape>
          <o:OLEObject Type="Embed" ProgID="Visio.Drawing.11" ShapeID="_x0000_i1031" DrawAspect="Content" ObjectID="_1802368858" r:id="rId36"/>
        </w:object>
      </w:r>
    </w:p>
    <w:p w14:paraId="3093E8CA" w14:textId="77777777" w:rsidR="003E6925" w:rsidRPr="00631CFA" w:rsidRDefault="003E6925" w:rsidP="003E69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1"/>
        <w:gridCol w:w="4640"/>
      </w:tblGrid>
      <w:tr w:rsidR="003E6925" w:rsidRPr="00631CFA" w14:paraId="4F35C235" w14:textId="77777777" w:rsidTr="00A84E7C">
        <w:trPr>
          <w:tblHeader/>
        </w:trPr>
        <w:tc>
          <w:tcPr>
            <w:tcW w:w="9389"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35566A38" w14:textId="77777777" w:rsidR="003E6925" w:rsidRPr="003E6925" w:rsidRDefault="003E6925" w:rsidP="003E6925">
            <w:r w:rsidRPr="003E6925">
              <w:t>Descriptions of the BusinessActivities</w:t>
            </w:r>
          </w:p>
        </w:tc>
      </w:tr>
      <w:tr w:rsidR="003E6925" w:rsidRPr="00631CFA" w14:paraId="542829FE" w14:textId="77777777" w:rsidTr="00A84E7C">
        <w:trPr>
          <w:tblHeader/>
        </w:trPr>
        <w:tc>
          <w:tcPr>
            <w:tcW w:w="4698" w:type="dxa"/>
            <w:tcBorders>
              <w:top w:val="single" w:sz="4" w:space="0" w:color="auto"/>
              <w:left w:val="single" w:sz="4" w:space="0" w:color="auto"/>
              <w:bottom w:val="single" w:sz="4" w:space="0" w:color="auto"/>
              <w:right w:val="double" w:sz="4" w:space="0" w:color="auto"/>
            </w:tcBorders>
            <w:shd w:val="clear" w:color="auto" w:fill="E0E0E0"/>
          </w:tcPr>
          <w:p w14:paraId="5C683941" w14:textId="77777777" w:rsidR="003E6925" w:rsidRPr="003E6925" w:rsidRDefault="003E6925" w:rsidP="003E6925">
            <w:r w:rsidRPr="003E6925">
              <w:t>Central Counterparty (CCP)</w:t>
            </w:r>
          </w:p>
        </w:tc>
        <w:tc>
          <w:tcPr>
            <w:tcW w:w="4691" w:type="dxa"/>
            <w:tcBorders>
              <w:top w:val="single" w:sz="4" w:space="0" w:color="auto"/>
              <w:left w:val="double" w:sz="4" w:space="0" w:color="auto"/>
              <w:bottom w:val="single" w:sz="4" w:space="0" w:color="auto"/>
              <w:right w:val="single" w:sz="4" w:space="0" w:color="auto"/>
            </w:tcBorders>
            <w:shd w:val="clear" w:color="auto" w:fill="E0E0E0"/>
            <w:hideMark/>
          </w:tcPr>
          <w:p w14:paraId="25694FD3" w14:textId="77777777" w:rsidR="003E6925" w:rsidRPr="003E6925" w:rsidRDefault="003E6925" w:rsidP="003E6925">
            <w:r w:rsidRPr="003E6925">
              <w:t>Clearing Member (CM)</w:t>
            </w:r>
          </w:p>
        </w:tc>
      </w:tr>
      <w:tr w:rsidR="003E6925" w:rsidRPr="001F1F66" w14:paraId="2C238687" w14:textId="77777777" w:rsidTr="00A84E7C">
        <w:tc>
          <w:tcPr>
            <w:tcW w:w="4698" w:type="dxa"/>
            <w:tcBorders>
              <w:top w:val="single" w:sz="4" w:space="0" w:color="auto"/>
              <w:left w:val="single" w:sz="4" w:space="0" w:color="auto"/>
              <w:bottom w:val="single" w:sz="4" w:space="0" w:color="auto"/>
              <w:right w:val="double" w:sz="4" w:space="0" w:color="auto"/>
            </w:tcBorders>
          </w:tcPr>
          <w:p w14:paraId="23DFD509" w14:textId="77777777" w:rsidR="003E6925" w:rsidRPr="003E6925" w:rsidRDefault="003E6925" w:rsidP="003E6925">
            <w:r w:rsidRPr="003E6925">
              <w:t>Identify position subject to buy-in:</w:t>
            </w:r>
          </w:p>
          <w:p w14:paraId="5CFC72FD" w14:textId="77777777" w:rsidR="003E6925" w:rsidRPr="003E6925" w:rsidRDefault="003E6925" w:rsidP="003E6925">
            <w:r w:rsidRPr="003E6925">
              <w:t>Depending on the CCP’s internal rules, when the CCP has identified the positions that did/will not settle on due time, it notifies the failing seller clearing member.</w:t>
            </w:r>
          </w:p>
        </w:tc>
        <w:tc>
          <w:tcPr>
            <w:tcW w:w="4691" w:type="dxa"/>
            <w:tcBorders>
              <w:top w:val="single" w:sz="4" w:space="0" w:color="auto"/>
              <w:left w:val="double" w:sz="4" w:space="0" w:color="auto"/>
              <w:bottom w:val="single" w:sz="4" w:space="0" w:color="auto"/>
              <w:right w:val="single" w:sz="4" w:space="0" w:color="auto"/>
            </w:tcBorders>
          </w:tcPr>
          <w:p w14:paraId="5BD44101" w14:textId="77777777" w:rsidR="003E6925" w:rsidRPr="003E6925" w:rsidRDefault="003E6925" w:rsidP="003E6925">
            <w:r w:rsidRPr="003E6925">
              <w:t>Process the information:</w:t>
            </w:r>
          </w:p>
          <w:p w14:paraId="78CEAF2F" w14:textId="77777777" w:rsidR="003E6925" w:rsidRPr="003E6925" w:rsidRDefault="003E6925" w:rsidP="003E6925">
            <w:r w:rsidRPr="003E6925">
              <w:t>The CM may send a response to the CCP asking for some delay (only valid for continuous netting systems).</w:t>
            </w:r>
          </w:p>
        </w:tc>
      </w:tr>
      <w:tr w:rsidR="003E6925" w:rsidRPr="00631CFA" w14:paraId="63E50818" w14:textId="77777777" w:rsidTr="00A84E7C">
        <w:tc>
          <w:tcPr>
            <w:tcW w:w="4698" w:type="dxa"/>
            <w:tcBorders>
              <w:top w:val="single" w:sz="4" w:space="0" w:color="auto"/>
              <w:left w:val="single" w:sz="4" w:space="0" w:color="auto"/>
              <w:bottom w:val="single" w:sz="4" w:space="0" w:color="auto"/>
              <w:right w:val="double" w:sz="4" w:space="0" w:color="auto"/>
            </w:tcBorders>
          </w:tcPr>
          <w:p w14:paraId="69ECA49C" w14:textId="77777777" w:rsidR="003E6925" w:rsidRPr="003E6925" w:rsidRDefault="003E6925" w:rsidP="003E6925">
            <w:r w:rsidRPr="003E6925">
              <w:t>Acknowledge the request:</w:t>
            </w:r>
          </w:p>
          <w:p w14:paraId="3673DE06" w14:textId="77777777" w:rsidR="003E6925" w:rsidRPr="003E6925" w:rsidRDefault="003E6925" w:rsidP="003E6925">
            <w:r w:rsidRPr="003E6925">
              <w:lastRenderedPageBreak/>
              <w:t>Process where the CCP acknowledges the request for a delay (this will be done via telephone)  (out of scope).</w:t>
            </w:r>
          </w:p>
        </w:tc>
        <w:tc>
          <w:tcPr>
            <w:tcW w:w="4691" w:type="dxa"/>
            <w:tcBorders>
              <w:top w:val="single" w:sz="4" w:space="0" w:color="auto"/>
              <w:left w:val="double" w:sz="4" w:space="0" w:color="auto"/>
              <w:bottom w:val="single" w:sz="4" w:space="0" w:color="auto"/>
              <w:right w:val="single" w:sz="4" w:space="0" w:color="auto"/>
            </w:tcBorders>
          </w:tcPr>
          <w:p w14:paraId="16194E7E" w14:textId="77777777" w:rsidR="003E6925" w:rsidRPr="003E6925" w:rsidRDefault="003E6925" w:rsidP="003E6925"/>
        </w:tc>
      </w:tr>
      <w:tr w:rsidR="003E6925" w:rsidRPr="00631CFA" w14:paraId="7C575E3B" w14:textId="77777777" w:rsidTr="00A84E7C">
        <w:tc>
          <w:tcPr>
            <w:tcW w:w="4698" w:type="dxa"/>
            <w:tcBorders>
              <w:top w:val="single" w:sz="4" w:space="0" w:color="auto"/>
              <w:left w:val="single" w:sz="4" w:space="0" w:color="auto"/>
              <w:bottom w:val="single" w:sz="4" w:space="0" w:color="auto"/>
              <w:right w:val="double" w:sz="4" w:space="0" w:color="auto"/>
            </w:tcBorders>
          </w:tcPr>
          <w:p w14:paraId="64747621" w14:textId="77777777" w:rsidR="003E6925" w:rsidRPr="003E6925" w:rsidRDefault="003E6925" w:rsidP="003E6925">
            <w:r w:rsidRPr="003E6925">
              <w:t>Notify buy-in process has been launched:</w:t>
            </w:r>
          </w:p>
          <w:p w14:paraId="62E4C207" w14:textId="77777777" w:rsidR="003E6925" w:rsidRPr="003E6925" w:rsidRDefault="003E6925" w:rsidP="003E6925">
            <w:r w:rsidRPr="003E6925">
              <w:t>The CCP notifies the failing seller clearing member that the buy-in process has been launched and that CCP tries to get the missing securities, for example, depending on the CCP, through an auction or by contacting a pool of preferred brokers.</w:t>
            </w:r>
          </w:p>
        </w:tc>
        <w:tc>
          <w:tcPr>
            <w:tcW w:w="4691" w:type="dxa"/>
            <w:tcBorders>
              <w:top w:val="single" w:sz="4" w:space="0" w:color="auto"/>
              <w:left w:val="double" w:sz="4" w:space="0" w:color="auto"/>
              <w:bottom w:val="single" w:sz="4" w:space="0" w:color="auto"/>
              <w:right w:val="single" w:sz="4" w:space="0" w:color="auto"/>
            </w:tcBorders>
          </w:tcPr>
          <w:p w14:paraId="7CF471E9" w14:textId="77777777" w:rsidR="003E6925" w:rsidRPr="003E6925" w:rsidRDefault="003E6925" w:rsidP="003E6925">
            <w:r w:rsidRPr="003E6925">
              <w:t>Process the information:</w:t>
            </w:r>
          </w:p>
          <w:p w14:paraId="48C30303" w14:textId="77777777" w:rsidR="003E6925" w:rsidRPr="003E6925" w:rsidRDefault="003E6925" w:rsidP="003E6925">
            <w:r w:rsidRPr="003E6925">
              <w:t>Internal validation of the information.</w:t>
            </w:r>
          </w:p>
        </w:tc>
      </w:tr>
      <w:tr w:rsidR="003E6925" w:rsidRPr="00631CFA" w14:paraId="766E89E3" w14:textId="77777777" w:rsidTr="00A84E7C">
        <w:tc>
          <w:tcPr>
            <w:tcW w:w="4698" w:type="dxa"/>
            <w:tcBorders>
              <w:top w:val="single" w:sz="4" w:space="0" w:color="auto"/>
              <w:left w:val="single" w:sz="4" w:space="0" w:color="auto"/>
              <w:bottom w:val="single" w:sz="4" w:space="0" w:color="auto"/>
              <w:right w:val="double" w:sz="4" w:space="0" w:color="auto"/>
            </w:tcBorders>
          </w:tcPr>
          <w:p w14:paraId="3EC6FCF6" w14:textId="77777777" w:rsidR="003E6925" w:rsidRPr="003E6925" w:rsidRDefault="003E6925" w:rsidP="003E6925">
            <w:r w:rsidRPr="003E6925">
              <w:t>Cancel settlement instruction:</w:t>
            </w:r>
          </w:p>
          <w:p w14:paraId="72E34933" w14:textId="77777777" w:rsidR="003E6925" w:rsidRPr="003E6925" w:rsidRDefault="003E6925" w:rsidP="003E6925">
            <w:r w:rsidRPr="003E6925">
              <w:t>The CCP cancels the settlement instruction sent previously to the CSD and creates a new one (settlement process (out of scope).</w:t>
            </w:r>
            <w:r w:rsidRPr="003E6925">
              <w:rPr>
                <w:rStyle w:val="FootnoteReference"/>
              </w:rPr>
              <w:footnoteReference w:id="6"/>
            </w:r>
          </w:p>
        </w:tc>
        <w:tc>
          <w:tcPr>
            <w:tcW w:w="4691" w:type="dxa"/>
            <w:tcBorders>
              <w:top w:val="single" w:sz="4" w:space="0" w:color="auto"/>
              <w:left w:val="double" w:sz="4" w:space="0" w:color="auto"/>
              <w:bottom w:val="single" w:sz="4" w:space="0" w:color="auto"/>
              <w:right w:val="single" w:sz="4" w:space="0" w:color="auto"/>
            </w:tcBorders>
          </w:tcPr>
          <w:p w14:paraId="147C0F95" w14:textId="77777777" w:rsidR="003E6925" w:rsidRPr="003E6925" w:rsidRDefault="003E6925" w:rsidP="003E6925"/>
        </w:tc>
      </w:tr>
      <w:tr w:rsidR="003E6925" w:rsidRPr="00631CFA" w14:paraId="0C1D3BD3" w14:textId="77777777" w:rsidTr="00A84E7C">
        <w:tc>
          <w:tcPr>
            <w:tcW w:w="4698" w:type="dxa"/>
            <w:tcBorders>
              <w:top w:val="single" w:sz="4" w:space="0" w:color="auto"/>
              <w:left w:val="single" w:sz="4" w:space="0" w:color="auto"/>
              <w:bottom w:val="single" w:sz="4" w:space="0" w:color="auto"/>
              <w:right w:val="double" w:sz="4" w:space="0" w:color="auto"/>
            </w:tcBorders>
          </w:tcPr>
          <w:p w14:paraId="09ACC39A" w14:textId="77777777" w:rsidR="003E6925" w:rsidRPr="003E6925" w:rsidRDefault="003E6925" w:rsidP="003E6925">
            <w:r w:rsidRPr="003E6925">
              <w:t>Confirm the buy-in process:</w:t>
            </w:r>
          </w:p>
          <w:p w14:paraId="43D8A16B" w14:textId="77777777" w:rsidR="003E6925" w:rsidRPr="003E6925" w:rsidRDefault="003E6925" w:rsidP="003E6925">
            <w:r w:rsidRPr="003E6925">
              <w:t>One business day after the buy-in date, the CCP confirms the buy-in process to all CMs that were bought in.</w:t>
            </w:r>
          </w:p>
        </w:tc>
        <w:tc>
          <w:tcPr>
            <w:tcW w:w="4691" w:type="dxa"/>
            <w:tcBorders>
              <w:top w:val="single" w:sz="4" w:space="0" w:color="auto"/>
              <w:left w:val="double" w:sz="4" w:space="0" w:color="auto"/>
              <w:bottom w:val="single" w:sz="4" w:space="0" w:color="auto"/>
              <w:right w:val="single" w:sz="4" w:space="0" w:color="auto"/>
            </w:tcBorders>
          </w:tcPr>
          <w:p w14:paraId="68B561BB" w14:textId="77777777" w:rsidR="003E6925" w:rsidRPr="003E6925" w:rsidRDefault="003E6925" w:rsidP="003E6925">
            <w:r w:rsidRPr="003E6925">
              <w:t>Process the information:</w:t>
            </w:r>
          </w:p>
          <w:p w14:paraId="1173374D" w14:textId="77777777" w:rsidR="003E6925" w:rsidRPr="003E6925" w:rsidRDefault="003E6925" w:rsidP="003E6925">
            <w:r w:rsidRPr="003E6925">
              <w:t>Internal validation of the information.</w:t>
            </w:r>
          </w:p>
        </w:tc>
      </w:tr>
      <w:tr w:rsidR="003E6925" w:rsidRPr="00631CFA" w14:paraId="000B8532" w14:textId="77777777" w:rsidTr="00A84E7C">
        <w:tc>
          <w:tcPr>
            <w:tcW w:w="4698" w:type="dxa"/>
            <w:tcBorders>
              <w:top w:val="single" w:sz="4" w:space="0" w:color="auto"/>
              <w:left w:val="single" w:sz="4" w:space="0" w:color="auto"/>
              <w:bottom w:val="single" w:sz="4" w:space="0" w:color="auto"/>
              <w:right w:val="double" w:sz="4" w:space="0" w:color="auto"/>
            </w:tcBorders>
          </w:tcPr>
          <w:p w14:paraId="588CBFA1" w14:textId="77777777" w:rsidR="003E6925" w:rsidRPr="003E6925" w:rsidRDefault="003E6925" w:rsidP="003E6925">
            <w:r w:rsidRPr="003E6925">
              <w:t>Any penalty fees or other buy-in fees will be debited from the clearing member account (payment process – out of scope)</w:t>
            </w:r>
            <w:r w:rsidRPr="003E6925">
              <w:rPr>
                <w:rStyle w:val="FootnoteReference"/>
              </w:rPr>
              <w:footnoteReference w:id="7"/>
            </w:r>
            <w:r w:rsidRPr="003E6925">
              <w:t>.</w:t>
            </w:r>
          </w:p>
        </w:tc>
        <w:tc>
          <w:tcPr>
            <w:tcW w:w="4691" w:type="dxa"/>
            <w:tcBorders>
              <w:top w:val="single" w:sz="4" w:space="0" w:color="auto"/>
              <w:left w:val="double" w:sz="4" w:space="0" w:color="auto"/>
              <w:bottom w:val="single" w:sz="4" w:space="0" w:color="auto"/>
              <w:right w:val="single" w:sz="4" w:space="0" w:color="auto"/>
            </w:tcBorders>
          </w:tcPr>
          <w:p w14:paraId="2AA06340" w14:textId="77777777" w:rsidR="003E6925" w:rsidRPr="003E6925" w:rsidRDefault="003E6925" w:rsidP="003E6925">
            <w:r w:rsidRPr="003E6925">
              <w:t xml:space="preserve">Cancel settlement instruction: </w:t>
            </w:r>
          </w:p>
          <w:p w14:paraId="660C46F8" w14:textId="77777777" w:rsidR="003E6925" w:rsidRPr="003E6925" w:rsidRDefault="003E6925" w:rsidP="003E6925">
            <w:r w:rsidRPr="003E6925">
              <w:t>The clearing member cancels the settlement instruction sent previously to the settlement agent/ CSD (settlement process – out of scope)</w:t>
            </w:r>
            <w:r w:rsidRPr="003E6925">
              <w:rPr>
                <w:rStyle w:val="FootnoteReference"/>
              </w:rPr>
              <w:footnoteReference w:id="8"/>
            </w:r>
            <w:r w:rsidRPr="003E6925">
              <w:t>.</w:t>
            </w:r>
          </w:p>
        </w:tc>
      </w:tr>
    </w:tbl>
    <w:p w14:paraId="55016E42" w14:textId="77777777" w:rsidR="003E6925" w:rsidRPr="00631CFA" w:rsidRDefault="003E6925" w:rsidP="003E6925"/>
    <w:p w14:paraId="32EFC26E" w14:textId="77777777" w:rsidR="003E6925" w:rsidRPr="00631CFA" w:rsidRDefault="003E6925" w:rsidP="003E6925"/>
    <w:p w14:paraId="3302BF04" w14:textId="77777777" w:rsidR="003E6925" w:rsidRPr="00631CFA" w:rsidRDefault="003E6925" w:rsidP="003E6925"/>
    <w:p w14:paraId="0B66DA1E" w14:textId="77777777" w:rsidR="003E6925" w:rsidRPr="00631CFA" w:rsidRDefault="003E6925" w:rsidP="003E6925"/>
    <w:p w14:paraId="03CA6654" w14:textId="77777777" w:rsidR="003E6925" w:rsidRPr="003E6925" w:rsidRDefault="003E6925" w:rsidP="003E6925">
      <w:bookmarkStart w:id="45" w:name="_Toc355789300"/>
      <w:r w:rsidRPr="003E6925">
        <w:br w:type="page"/>
      </w:r>
    </w:p>
    <w:p w14:paraId="06C44530" w14:textId="77777777" w:rsidR="003E6925" w:rsidRPr="003E6925" w:rsidRDefault="003E6925" w:rsidP="003E6925">
      <w:pPr>
        <w:pStyle w:val="Heading1"/>
      </w:pPr>
      <w:bookmarkStart w:id="46" w:name="_Toc412636877"/>
      <w:bookmarkStart w:id="47" w:name="_Toc191756098"/>
      <w:r w:rsidRPr="003E6925">
        <w:lastRenderedPageBreak/>
        <w:t>BusinessTransactions</w:t>
      </w:r>
      <w:bookmarkEnd w:id="46"/>
      <w:bookmarkEnd w:id="47"/>
    </w:p>
    <w:p w14:paraId="329EFD68" w14:textId="77777777" w:rsidR="003E6925" w:rsidRPr="003E6925" w:rsidRDefault="003E6925" w:rsidP="003E6925">
      <w:bookmarkStart w:id="48" w:name="_Toc447529651"/>
      <w:bookmarkStart w:id="49" w:name="_Toc447530826"/>
      <w:bookmarkStart w:id="50" w:name="_Toc447531267"/>
      <w:bookmarkStart w:id="51" w:name="_Toc449841187"/>
      <w:bookmarkStart w:id="52" w:name="_Toc449841430"/>
      <w:bookmarkStart w:id="53" w:name="_Toc450819670"/>
      <w:bookmarkStart w:id="54" w:name="_Toc450974818"/>
      <w:bookmarkStart w:id="55" w:name="_Toc450979706"/>
      <w:bookmarkStart w:id="56" w:name="_Toc450980147"/>
      <w:bookmarkStart w:id="57" w:name="_Toc451158661"/>
      <w:r w:rsidRPr="003E6925">
        <w:t xml:space="preserve">This section describes the message flows based on the activity diagrams documented above. It shows the typical exchanges of information in the context of a BusinessTransaction. </w:t>
      </w:r>
    </w:p>
    <w:p w14:paraId="186C56C0" w14:textId="77777777" w:rsidR="003E6925" w:rsidRPr="003E6925" w:rsidRDefault="003E6925" w:rsidP="003E6925">
      <w:r w:rsidRPr="003E6925">
        <w:t>Solid lines indicate mandatory messages.</w:t>
      </w:r>
    </w:p>
    <w:p w14:paraId="0F48C0AC" w14:textId="77777777" w:rsidR="003E6925" w:rsidRPr="003E6925" w:rsidRDefault="003E6925" w:rsidP="003E6925">
      <w:r w:rsidRPr="003E6925">
        <w:t>Dotted lines indicate optional/potential messages.</w:t>
      </w:r>
    </w:p>
    <w:p w14:paraId="75142D72" w14:textId="77777777" w:rsidR="003E6925" w:rsidRPr="003E6925" w:rsidRDefault="003E6925" w:rsidP="003E6925">
      <w:r w:rsidRPr="003E6925">
        <w:t xml:space="preserve">The sequence diagrams describe the message flows between the central counterparty (CCP) and the clearing member. </w:t>
      </w:r>
    </w:p>
    <w:p w14:paraId="222059A3" w14:textId="77777777" w:rsidR="003E6925" w:rsidRPr="00901880" w:rsidRDefault="003E6925" w:rsidP="003E6925">
      <w:pPr>
        <w:pStyle w:val="Heading2"/>
      </w:pPr>
      <w:bookmarkStart w:id="58" w:name="_Toc412636878"/>
      <w:bookmarkStart w:id="59" w:name="_Toc191756099"/>
      <w:r>
        <w:t xml:space="preserve">Trade Leg Notification </w:t>
      </w:r>
      <w:r w:rsidRPr="003E6925">
        <w:t>BusinessTransaction</w:t>
      </w:r>
      <w:bookmarkEnd w:id="58"/>
      <w:bookmarkEnd w:id="59"/>
    </w:p>
    <w:p w14:paraId="4E1B995B" w14:textId="77777777" w:rsidR="003E6925" w:rsidRPr="003E6925" w:rsidRDefault="003E6925" w:rsidP="003E6925">
      <w:bookmarkStart w:id="60" w:name="_Toc355789218"/>
      <w:bookmarkStart w:id="61" w:name="_Toc364151642"/>
      <w:bookmarkStart w:id="62" w:name="id121sect80"/>
      <w:r w:rsidRPr="003E6925">
        <w:t xml:space="preserve">The TradeLegNotification message is sent by the central counterparty (CCP) to a clearing member to report the trade that has been executed by the trading platform. Through novation the original contract between the buyer and seller is extinguished and replaced by two new contracts, one between the CCP and the buyer and one between the CCP and the seller. The CCP reports both sides of the trade from the clearing member perspective. </w:t>
      </w:r>
    </w:p>
    <w:p w14:paraId="13D71B6B" w14:textId="77777777" w:rsidR="003E6925" w:rsidRPr="003E6925" w:rsidRDefault="003E6925" w:rsidP="003E6925">
      <w:r w:rsidRPr="003E6925">
        <w:t>At the end of the day (or during the day depending on each CCP’s internal process), the CCP reports a summary of all trades that occurred for a specific period in that day, that is, the CCP sends the TradeLegStatement message to the clearing member.</w:t>
      </w:r>
    </w:p>
    <w:p w14:paraId="3E4385CD" w14:textId="77777777" w:rsidR="003E6925" w:rsidRPr="003E6925" w:rsidRDefault="003E6925" w:rsidP="003E6925">
      <w:pPr>
        <w:pStyle w:val="Graphic"/>
      </w:pPr>
      <w:r w:rsidRPr="003E6925">
        <w:rPr>
          <w:noProof/>
        </w:rPr>
        <w:drawing>
          <wp:inline distT="0" distB="0" distL="0" distR="0" wp14:anchorId="42BD6CB1" wp14:editId="19FCF79C">
            <wp:extent cx="4095115" cy="2242185"/>
            <wp:effectExtent l="0" t="0" r="635" b="5715"/>
            <wp:docPr id="4" name="Picture 4" descr="A diagram of a trade agree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iagram of a trade agreement&#10;&#10;AI-generated content may be incorrec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095115" cy="2242185"/>
                    </a:xfrm>
                    <a:prstGeom prst="rect">
                      <a:avLst/>
                    </a:prstGeom>
                    <a:noFill/>
                    <a:ln>
                      <a:noFill/>
                    </a:ln>
                  </pic:spPr>
                </pic:pic>
              </a:graphicData>
            </a:graphic>
          </wp:inline>
        </w:drawing>
      </w:r>
    </w:p>
    <w:p w14:paraId="3F70F093" w14:textId="77777777" w:rsidR="003E6925" w:rsidRPr="003E6925" w:rsidRDefault="003E6925" w:rsidP="003E6925">
      <w:pPr>
        <w:pStyle w:val="Heading2"/>
      </w:pPr>
      <w:bookmarkStart w:id="63" w:name="_Toc412636879"/>
      <w:bookmarkStart w:id="64" w:name="_Toc191756100"/>
      <w:bookmarkEnd w:id="60"/>
      <w:bookmarkEnd w:id="61"/>
      <w:r w:rsidRPr="003E6925">
        <w:t>Trade Leg Notification Cancellation BusinessTransaction</w:t>
      </w:r>
      <w:bookmarkEnd w:id="63"/>
      <w:bookmarkEnd w:id="64"/>
    </w:p>
    <w:p w14:paraId="6ACA0ED7" w14:textId="77777777" w:rsidR="003E6925" w:rsidRPr="003E6925" w:rsidRDefault="003E6925" w:rsidP="003E6925">
      <w:r w:rsidRPr="003E6925">
        <w:t xml:space="preserve">The TradeLegNotificationCancellation message is sent by a central counterparty (CCP) to the clearing member to notify the cancellation of a TradeLegNotification message previously sent. </w:t>
      </w:r>
    </w:p>
    <w:p w14:paraId="64A84D55" w14:textId="77777777" w:rsidR="003E6925" w:rsidRPr="003E6925" w:rsidRDefault="003E6925" w:rsidP="003E6925">
      <w:r w:rsidRPr="003E6925">
        <w:t>The TradeLegNotificationCancellation message cannot be sent to notify the cancellation of the TradeLegStatement message.</w:t>
      </w:r>
    </w:p>
    <w:p w14:paraId="27ABA034" w14:textId="77777777" w:rsidR="003E6925" w:rsidRPr="003E6925" w:rsidRDefault="003E6925" w:rsidP="003E6925">
      <w:pPr>
        <w:pStyle w:val="Graphic"/>
      </w:pPr>
      <w:r w:rsidRPr="003E6925">
        <w:rPr>
          <w:noProof/>
        </w:rPr>
        <w:lastRenderedPageBreak/>
        <w:drawing>
          <wp:inline distT="0" distB="0" distL="0" distR="0" wp14:anchorId="2694060B" wp14:editId="18B3DB70">
            <wp:extent cx="3919993" cy="1902555"/>
            <wp:effectExtent l="0" t="0" r="4445" b="2540"/>
            <wp:docPr id="8" name="Picture 8" descr="A diagram of a trade logistic&#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diagram of a trade logistic&#10;&#10;AI-generated content may be incorrec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920178" cy="1902645"/>
                    </a:xfrm>
                    <a:prstGeom prst="rect">
                      <a:avLst/>
                    </a:prstGeom>
                    <a:noFill/>
                    <a:ln>
                      <a:noFill/>
                    </a:ln>
                  </pic:spPr>
                </pic:pic>
              </a:graphicData>
            </a:graphic>
          </wp:inline>
        </w:drawing>
      </w:r>
    </w:p>
    <w:p w14:paraId="7E2DBB0F" w14:textId="77777777" w:rsidR="003E6925" w:rsidRPr="003E6925" w:rsidRDefault="003E6925" w:rsidP="003E6925">
      <w:pPr>
        <w:pStyle w:val="Heading2"/>
      </w:pPr>
      <w:bookmarkStart w:id="65" w:name="_Toc412636880"/>
      <w:bookmarkStart w:id="66" w:name="_Toc191756101"/>
      <w:r w:rsidRPr="003E6925">
        <w:t>Position Netting BusinessTransaction</w:t>
      </w:r>
      <w:bookmarkEnd w:id="65"/>
      <w:bookmarkEnd w:id="66"/>
    </w:p>
    <w:p w14:paraId="3B6E3C4A" w14:textId="77777777" w:rsidR="003E6925" w:rsidRPr="003E6925" w:rsidRDefault="003E6925" w:rsidP="003E6925">
      <w:r w:rsidRPr="003E6925">
        <w:t>The NetPosition message is sent by a central counterparty (CCP) to the clearing member to report the net position of all trade legs reported during the day.</w:t>
      </w:r>
    </w:p>
    <w:p w14:paraId="0F0BB6E1" w14:textId="77777777" w:rsidR="003E6925" w:rsidRPr="00191626" w:rsidRDefault="003E6925" w:rsidP="003E6925"/>
    <w:bookmarkEnd w:id="62"/>
    <w:p w14:paraId="4F73A0F7" w14:textId="77777777" w:rsidR="003E6925" w:rsidRPr="003E6925" w:rsidRDefault="003E6925" w:rsidP="003E6925">
      <w:pPr>
        <w:pStyle w:val="Graphic"/>
      </w:pPr>
      <w:r w:rsidRPr="003E6925">
        <w:rPr>
          <w:noProof/>
        </w:rPr>
        <w:drawing>
          <wp:inline distT="0" distB="0" distL="0" distR="0" wp14:anchorId="1E00F552" wp14:editId="46F62144">
            <wp:extent cx="4095115" cy="1574165"/>
            <wp:effectExtent l="0" t="0" r="635" b="6985"/>
            <wp:docPr id="9" name="Picture 9" descr="A black and white image of a person's 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ack and white image of a person's face&#10;&#10;AI-generated content may be incorrect."/>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95115" cy="1574165"/>
                    </a:xfrm>
                    <a:prstGeom prst="rect">
                      <a:avLst/>
                    </a:prstGeom>
                    <a:noFill/>
                    <a:ln>
                      <a:noFill/>
                    </a:ln>
                  </pic:spPr>
                </pic:pic>
              </a:graphicData>
            </a:graphic>
          </wp:inline>
        </w:drawing>
      </w:r>
    </w:p>
    <w:p w14:paraId="21F30BA8" w14:textId="77777777" w:rsidR="003E6925" w:rsidRPr="003E6925" w:rsidRDefault="003E6925" w:rsidP="003E6925">
      <w:pPr>
        <w:pStyle w:val="Heading2"/>
      </w:pPr>
      <w:bookmarkStart w:id="67" w:name="_Toc412636881"/>
      <w:bookmarkStart w:id="68" w:name="_Toc191756102"/>
      <w:r w:rsidRPr="003E6925">
        <w:t>Margining BusinessTransaction</w:t>
      </w:r>
      <w:bookmarkEnd w:id="67"/>
      <w:bookmarkEnd w:id="68"/>
    </w:p>
    <w:p w14:paraId="04130367" w14:textId="77777777" w:rsidR="003E6925" w:rsidRPr="003E6925" w:rsidRDefault="003E6925" w:rsidP="003E6925">
      <w:r w:rsidRPr="003E6925">
        <w:t>The central counterparty (CCP) calculates the risk linked to the net position of each clearing member. The MarginReport message is sent by a CCP to the clearing member to report on:</w:t>
      </w:r>
    </w:p>
    <w:p w14:paraId="687631F3" w14:textId="77777777" w:rsidR="003E6925" w:rsidRPr="003E6925" w:rsidRDefault="003E6925" w:rsidP="003E6925">
      <w:pPr>
        <w:pStyle w:val="ListParagraph"/>
      </w:pPr>
      <w:r w:rsidRPr="003E6925">
        <w:t>the exposure resulting from the trade positions</w:t>
      </w:r>
    </w:p>
    <w:p w14:paraId="19672593" w14:textId="77777777" w:rsidR="003E6925" w:rsidRPr="003E6925" w:rsidRDefault="003E6925" w:rsidP="003E6925">
      <w:pPr>
        <w:pStyle w:val="ListParagraph"/>
      </w:pPr>
      <w:r w:rsidRPr="003E6925">
        <w:t>the value of the collateral held by the CCP (market value of this collateral)</w:t>
      </w:r>
    </w:p>
    <w:p w14:paraId="25193A44" w14:textId="77777777" w:rsidR="003E6925" w:rsidRPr="003E6925" w:rsidRDefault="003E6925" w:rsidP="003E6925">
      <w:pPr>
        <w:pStyle w:val="ListParagraph"/>
      </w:pPr>
      <w:r w:rsidRPr="003E6925">
        <w:t>the resulting difference representing the risk encountered by the CCP.</w:t>
      </w:r>
    </w:p>
    <w:p w14:paraId="53DD0F94" w14:textId="77777777" w:rsidR="003E6925" w:rsidRPr="003E6925" w:rsidRDefault="003E6925" w:rsidP="003E6925">
      <w:r w:rsidRPr="003E6925">
        <w:t>Optional flows:</w:t>
      </w:r>
    </w:p>
    <w:p w14:paraId="62AB888A" w14:textId="77777777" w:rsidR="003E6925" w:rsidRPr="003E6925" w:rsidRDefault="003E6925" w:rsidP="003E6925">
      <w:r w:rsidRPr="003E6925">
        <w:t>Depending on the CCP’s internal rules:</w:t>
      </w:r>
    </w:p>
    <w:p w14:paraId="69A205EC" w14:textId="77777777" w:rsidR="003E6925" w:rsidRPr="003E6925" w:rsidRDefault="003E6925" w:rsidP="003E6925">
      <w:pPr>
        <w:pStyle w:val="ListParagraph"/>
      </w:pPr>
      <w:r w:rsidRPr="003E6925">
        <w:t>The CCP may send the MarginCallRequest message in case the risk that has been calculated is greater than the amount of collateral that has been posted by the clearing member.</w:t>
      </w:r>
    </w:p>
    <w:p w14:paraId="07CA2F3D" w14:textId="77777777" w:rsidR="003E6925" w:rsidRPr="003E6925" w:rsidRDefault="003E6925" w:rsidP="003E6925">
      <w:pPr>
        <w:pStyle w:val="ListParagraph"/>
      </w:pPr>
      <w:r w:rsidRPr="003E6925">
        <w:t>The clearing member may propose specific collateral to cover the risk encountered by the CCP. In this case, the clearing member sends the CollateralProposal message. The CCP may respond using the CollateralProposalResponse message to either accept or reject the piece of collateral that was proposed by the clearing member. (This sequence of messages can be repeated in case of rejection of the collateral proposed).</w:t>
      </w:r>
    </w:p>
    <w:p w14:paraId="7282FE57" w14:textId="77777777" w:rsidR="003E6925" w:rsidRPr="003E6925" w:rsidRDefault="003E6925" w:rsidP="003E6925">
      <w:r w:rsidRPr="003E6925">
        <w:lastRenderedPageBreak/>
        <w:t>Note that these optional flows are not part of the scope of this project and will not be described in this document. They are only shown for the sake of completeness. For more information please refer to the Collateral Management project.</w:t>
      </w:r>
    </w:p>
    <w:p w14:paraId="26643EE0" w14:textId="77777777" w:rsidR="003E6925" w:rsidRPr="003E6925" w:rsidRDefault="003E6925" w:rsidP="003E6925">
      <w:pPr>
        <w:pStyle w:val="Graphic"/>
      </w:pPr>
      <w:r w:rsidRPr="003E6925">
        <w:rPr>
          <w:noProof/>
        </w:rPr>
        <w:drawing>
          <wp:inline distT="0" distB="0" distL="0" distR="0" wp14:anchorId="38CFF790" wp14:editId="6B6715C7">
            <wp:extent cx="4095115" cy="2759075"/>
            <wp:effectExtent l="0" t="0" r="635" b="3175"/>
            <wp:docPr id="10" name="Picture 10"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company&#10;&#10;AI-generated content may be incorrect."/>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095115" cy="2759075"/>
                    </a:xfrm>
                    <a:prstGeom prst="rect">
                      <a:avLst/>
                    </a:prstGeom>
                    <a:noFill/>
                    <a:ln>
                      <a:noFill/>
                    </a:ln>
                  </pic:spPr>
                </pic:pic>
              </a:graphicData>
            </a:graphic>
          </wp:inline>
        </w:drawing>
      </w:r>
    </w:p>
    <w:p w14:paraId="6ECCE72C" w14:textId="77777777" w:rsidR="003E6925" w:rsidRPr="003E6925" w:rsidRDefault="003E6925" w:rsidP="003E6925">
      <w:pPr>
        <w:pStyle w:val="Heading2"/>
      </w:pPr>
      <w:bookmarkStart w:id="69" w:name="_Toc412636882"/>
      <w:bookmarkStart w:id="70" w:name="_Toc191756103"/>
      <w:bookmarkEnd w:id="48"/>
      <w:bookmarkEnd w:id="49"/>
      <w:bookmarkEnd w:id="50"/>
      <w:bookmarkEnd w:id="51"/>
      <w:bookmarkEnd w:id="52"/>
      <w:bookmarkEnd w:id="53"/>
      <w:bookmarkEnd w:id="54"/>
      <w:bookmarkEnd w:id="55"/>
      <w:bookmarkEnd w:id="56"/>
      <w:bookmarkEnd w:id="57"/>
      <w:r w:rsidRPr="003E6925">
        <w:t>Default Fund Contribution BusinessTransaction</w:t>
      </w:r>
      <w:bookmarkEnd w:id="69"/>
      <w:bookmarkEnd w:id="70"/>
    </w:p>
    <w:p w14:paraId="45CD6DFB" w14:textId="77777777" w:rsidR="003E6925" w:rsidRPr="003E6925" w:rsidRDefault="003E6925" w:rsidP="003E6925">
      <w:r w:rsidRPr="003E6925">
        <w:t xml:space="preserve">Central counterparties require participants to post assets in a clearing fund that can be used in the event of a default by a participant to compensate non-defaulting participants for losses they suffer due to this default. Contributions are linked to the riskiness of a participant's activity as measured by margin posted, by size of position or sometimes by stress-testing results. </w:t>
      </w:r>
    </w:p>
    <w:p w14:paraId="75011EB5" w14:textId="77777777" w:rsidR="003E6925" w:rsidRPr="003E6925" w:rsidRDefault="003E6925" w:rsidP="003E6925">
      <w:r w:rsidRPr="003E6925">
        <w:t>The DefaultFundContributionReport message is sent by a central counterparty (CCP) to the clearing member to report on the calculation of the default fund contribution and the potential net excess or deficit.</w:t>
      </w:r>
    </w:p>
    <w:p w14:paraId="4703EE81" w14:textId="77777777" w:rsidR="003E6925" w:rsidRPr="003E6925" w:rsidRDefault="003E6925" w:rsidP="003E6925">
      <w:r w:rsidRPr="003E6925">
        <w:t>Optional flow:</w:t>
      </w:r>
    </w:p>
    <w:p w14:paraId="7CE1A24D" w14:textId="77777777" w:rsidR="003E6925" w:rsidRPr="003E6925" w:rsidRDefault="003E6925" w:rsidP="003E6925">
      <w:r w:rsidRPr="003E6925">
        <w:t>Depending on the CCP’s internal rules, the CCP may send a MarginCallRequest message for the deficit amount required to cover the default fund.</w:t>
      </w:r>
    </w:p>
    <w:p w14:paraId="771C6333" w14:textId="77777777" w:rsidR="003E6925" w:rsidRPr="003E6925" w:rsidRDefault="003E6925" w:rsidP="003E6925">
      <w:r w:rsidRPr="003E6925">
        <w:t>Note that this flow is not part of the scope of this project and will not be described in this document. It is only shown for the sake of completeness. For more information please refer to the Collateral Management project.</w:t>
      </w:r>
    </w:p>
    <w:p w14:paraId="171685DA" w14:textId="77777777" w:rsidR="003E6925" w:rsidRPr="003E6925" w:rsidRDefault="003E6925" w:rsidP="003E6925">
      <w:pPr>
        <w:pStyle w:val="Graphic"/>
      </w:pPr>
      <w:r w:rsidRPr="003E6925">
        <w:rPr>
          <w:noProof/>
        </w:rPr>
        <w:lastRenderedPageBreak/>
        <w:drawing>
          <wp:inline distT="0" distB="0" distL="0" distR="0" wp14:anchorId="00AF0D4B" wp14:editId="6CBB5898">
            <wp:extent cx="4095115" cy="2122805"/>
            <wp:effectExtent l="0" t="0" r="635" b="0"/>
            <wp:docPr id="11" name="Picture 11" descr="A diagram of a ban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diagram of a bank&#10;&#10;AI-generated content may be incorrect."/>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95115" cy="2122805"/>
                    </a:xfrm>
                    <a:prstGeom prst="rect">
                      <a:avLst/>
                    </a:prstGeom>
                    <a:noFill/>
                    <a:ln>
                      <a:noFill/>
                    </a:ln>
                  </pic:spPr>
                </pic:pic>
              </a:graphicData>
            </a:graphic>
          </wp:inline>
        </w:drawing>
      </w:r>
    </w:p>
    <w:p w14:paraId="5619CC71" w14:textId="77777777" w:rsidR="003E6925" w:rsidRPr="003E6925" w:rsidRDefault="003E6925" w:rsidP="003E6925">
      <w:pPr>
        <w:pStyle w:val="Heading2"/>
      </w:pPr>
      <w:bookmarkStart w:id="71" w:name="_Toc412636883"/>
      <w:bookmarkStart w:id="72" w:name="_Toc191756104"/>
      <w:r w:rsidRPr="003E6925">
        <w:t>Settlement Netting BusinessTransaction</w:t>
      </w:r>
      <w:bookmarkEnd w:id="71"/>
      <w:bookmarkEnd w:id="72"/>
    </w:p>
    <w:p w14:paraId="36C4F97F" w14:textId="77777777" w:rsidR="003E6925" w:rsidRPr="003E6925" w:rsidRDefault="003E6925" w:rsidP="003E6925">
      <w:r w:rsidRPr="003E6925">
        <w:t>The SettlementObligationReport message is sent by a central counterparty (CCP) to a clearing member to report on the settlement(s) obligation(s) that will be submitted for settlement.</w:t>
      </w:r>
    </w:p>
    <w:p w14:paraId="3DA44CF0" w14:textId="77777777" w:rsidR="003E6925" w:rsidRPr="003E6925" w:rsidRDefault="003E6925" w:rsidP="003E6925">
      <w:pPr>
        <w:pStyle w:val="Graphic"/>
      </w:pPr>
      <w:r w:rsidRPr="003E6925">
        <w:rPr>
          <w:noProof/>
        </w:rPr>
        <w:drawing>
          <wp:inline distT="0" distB="0" distL="0" distR="0" wp14:anchorId="77CA43CB" wp14:editId="6A42AF3C">
            <wp:extent cx="4095115" cy="1670050"/>
            <wp:effectExtent l="0" t="0" r="635" b="6350"/>
            <wp:docPr id="12" name="Picture 12" descr="A close-up of a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close-up of a text&#10;&#10;AI-generated content may be incorrect."/>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095115" cy="1670050"/>
                    </a:xfrm>
                    <a:prstGeom prst="rect">
                      <a:avLst/>
                    </a:prstGeom>
                    <a:noFill/>
                    <a:ln>
                      <a:noFill/>
                    </a:ln>
                  </pic:spPr>
                </pic:pic>
              </a:graphicData>
            </a:graphic>
          </wp:inline>
        </w:drawing>
      </w:r>
    </w:p>
    <w:p w14:paraId="632857D2" w14:textId="77777777" w:rsidR="003E6925" w:rsidRPr="003E6925" w:rsidRDefault="003E6925" w:rsidP="003E6925">
      <w:pPr>
        <w:pStyle w:val="Heading2"/>
      </w:pPr>
      <w:bookmarkStart w:id="73" w:name="_Toc412636884"/>
      <w:bookmarkStart w:id="74" w:name="_Toc191756105"/>
      <w:r w:rsidRPr="003E6925">
        <w:t>Buy-in BusinessTransaction</w:t>
      </w:r>
      <w:bookmarkEnd w:id="73"/>
      <w:bookmarkEnd w:id="74"/>
    </w:p>
    <w:p w14:paraId="1DBDFBD1" w14:textId="77777777" w:rsidR="003E6925" w:rsidRPr="003E6925" w:rsidRDefault="003E6925" w:rsidP="003E6925">
      <w:r w:rsidRPr="003E6925">
        <w:t>The buy-in process is a process by which the central counterparty (CCP) buys in stock to cover failed transactions.</w:t>
      </w:r>
    </w:p>
    <w:p w14:paraId="1C724351" w14:textId="77777777" w:rsidR="003E6925" w:rsidRPr="003E6925" w:rsidRDefault="003E6925" w:rsidP="003E6925">
      <w:r w:rsidRPr="003E6925">
        <w:t>The BuyInNotification message is sent by a central counterparty (CCP) to the clearing member to notify the start of the buy-in process. This message can also be sent, as a warning, some days before the buy-in process actually starts.</w:t>
      </w:r>
    </w:p>
    <w:p w14:paraId="668D2B5A" w14:textId="77777777" w:rsidR="003E6925" w:rsidRPr="003E6925" w:rsidRDefault="003E6925" w:rsidP="003E6925">
      <w:r w:rsidRPr="003E6925">
        <w:t>The BuyInResponse message is sent by the clearing member to the CCP as a response to the previously sent buy-in notification message. The use of this message in the buy-in process is optional and depends on the rules set out by each central counterparty.</w:t>
      </w:r>
    </w:p>
    <w:p w14:paraId="50C50CFC" w14:textId="77777777" w:rsidR="003E6925" w:rsidRPr="003E6925" w:rsidRDefault="003E6925" w:rsidP="003E6925">
      <w:r w:rsidRPr="003E6925">
        <w:t>The BuyInConfirmation message is sent by the CCP to the clearing member to confirm the details of the transaction resulting from the buy-in process.</w:t>
      </w:r>
    </w:p>
    <w:p w14:paraId="329011F7" w14:textId="77777777" w:rsidR="003E6925" w:rsidRPr="003E6925" w:rsidRDefault="003E6925" w:rsidP="003E6925">
      <w:pPr>
        <w:pStyle w:val="Graphic"/>
      </w:pPr>
      <w:r w:rsidRPr="003E6925">
        <w:rPr>
          <w:noProof/>
        </w:rPr>
        <w:lastRenderedPageBreak/>
        <w:drawing>
          <wp:inline distT="0" distB="0" distL="0" distR="0" wp14:anchorId="4924A133" wp14:editId="1B497FEB">
            <wp:extent cx="4095115" cy="2759075"/>
            <wp:effectExtent l="0" t="0" r="635" b="3175"/>
            <wp:docPr id="13" name="Picture 13" descr="A diagram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diagram of a building&#10;&#10;AI-generated content may be incorrec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095115" cy="2759075"/>
                    </a:xfrm>
                    <a:prstGeom prst="rect">
                      <a:avLst/>
                    </a:prstGeom>
                    <a:noFill/>
                    <a:ln>
                      <a:noFill/>
                    </a:ln>
                  </pic:spPr>
                </pic:pic>
              </a:graphicData>
            </a:graphic>
          </wp:inline>
        </w:drawing>
      </w:r>
    </w:p>
    <w:p w14:paraId="5C0DF237" w14:textId="77777777" w:rsidR="003E6925" w:rsidRPr="003E6925" w:rsidRDefault="003E6925" w:rsidP="003E6925"/>
    <w:p w14:paraId="1E121EBF" w14:textId="77777777" w:rsidR="003E6925" w:rsidRPr="003E6925" w:rsidRDefault="003E6925" w:rsidP="003E6925"/>
    <w:p w14:paraId="3832350B" w14:textId="77777777" w:rsidR="003E6925" w:rsidRPr="003E6925" w:rsidRDefault="003E6925" w:rsidP="003E6925"/>
    <w:p w14:paraId="7929AE8D" w14:textId="77777777" w:rsidR="003E6925" w:rsidRPr="003E6925" w:rsidRDefault="003E6925" w:rsidP="003E6925"/>
    <w:p w14:paraId="4F1A42F8" w14:textId="77777777" w:rsidR="003E6925" w:rsidRPr="003E6925" w:rsidRDefault="003E6925" w:rsidP="003E6925"/>
    <w:bookmarkEnd w:id="45"/>
    <w:p w14:paraId="3D8805BA" w14:textId="77777777" w:rsidR="003E6925" w:rsidRPr="003E6925" w:rsidRDefault="003E6925" w:rsidP="003E6925"/>
    <w:p w14:paraId="26507E0C" w14:textId="77777777" w:rsidR="003E6925" w:rsidRPr="003E6925" w:rsidRDefault="003E6925" w:rsidP="003E6925"/>
    <w:p w14:paraId="79006527" w14:textId="77777777" w:rsidR="003E6925" w:rsidRPr="003E6925" w:rsidRDefault="003E6925" w:rsidP="003E6925"/>
    <w:p w14:paraId="1F357E5C" w14:textId="77777777" w:rsidR="003E6925" w:rsidRPr="003E6925" w:rsidRDefault="003E6925" w:rsidP="003E6925">
      <w:r w:rsidRPr="00631CFA">
        <w:br w:type="page"/>
      </w:r>
    </w:p>
    <w:p w14:paraId="623D4631" w14:textId="77777777" w:rsidR="003E6925" w:rsidRDefault="003E6925" w:rsidP="003E6925">
      <w:pPr>
        <w:pStyle w:val="Heading1"/>
      </w:pPr>
      <w:bookmarkStart w:id="75" w:name="_Toc348941504"/>
      <w:bookmarkStart w:id="76" w:name="_Toc356540994"/>
      <w:bookmarkStart w:id="77" w:name="_Toc404776238"/>
      <w:bookmarkStart w:id="78" w:name="_Toc412636885"/>
      <w:bookmarkStart w:id="79" w:name="_Toc191756106"/>
      <w:r w:rsidRPr="00AB186C">
        <w:lastRenderedPageBreak/>
        <w:t>Revision Record</w:t>
      </w:r>
      <w:bookmarkEnd w:id="75"/>
      <w:bookmarkEnd w:id="76"/>
      <w:bookmarkEnd w:id="77"/>
      <w:bookmarkEnd w:id="78"/>
      <w:bookmarkEnd w:id="79"/>
    </w:p>
    <w:p w14:paraId="63BABD89" w14:textId="77777777" w:rsidR="003E6925" w:rsidRPr="003E6925" w:rsidRDefault="003E6925" w:rsidP="003E6925"/>
    <w:tbl>
      <w:tblPr>
        <w:tblStyle w:val="TableGrid"/>
        <w:tblW w:w="0" w:type="auto"/>
        <w:tblLook w:val="04A0" w:firstRow="1" w:lastRow="0" w:firstColumn="1" w:lastColumn="0" w:noHBand="0" w:noVBand="1"/>
      </w:tblPr>
      <w:tblGrid>
        <w:gridCol w:w="1664"/>
        <w:gridCol w:w="1617"/>
        <w:gridCol w:w="1595"/>
        <w:gridCol w:w="1671"/>
        <w:gridCol w:w="1610"/>
      </w:tblGrid>
      <w:tr w:rsidR="003E6925" w:rsidRPr="000A3BA9" w14:paraId="00531CA3" w14:textId="77777777" w:rsidTr="003E6925">
        <w:tc>
          <w:tcPr>
            <w:tcW w:w="1664" w:type="dxa"/>
          </w:tcPr>
          <w:p w14:paraId="0E0614A7" w14:textId="77777777" w:rsidR="003E6925" w:rsidRPr="003E6925" w:rsidRDefault="003E6925" w:rsidP="003E6925">
            <w:r w:rsidRPr="003E6925">
              <w:t>Revision</w:t>
            </w:r>
          </w:p>
        </w:tc>
        <w:tc>
          <w:tcPr>
            <w:tcW w:w="1617" w:type="dxa"/>
          </w:tcPr>
          <w:p w14:paraId="1A530304" w14:textId="77777777" w:rsidR="003E6925" w:rsidRPr="003E6925" w:rsidRDefault="003E6925" w:rsidP="003E6925">
            <w:r w:rsidRPr="003E6925">
              <w:t>Date</w:t>
            </w:r>
          </w:p>
        </w:tc>
        <w:tc>
          <w:tcPr>
            <w:tcW w:w="1595" w:type="dxa"/>
          </w:tcPr>
          <w:p w14:paraId="7DA77AB4" w14:textId="77777777" w:rsidR="003E6925" w:rsidRPr="003E6925" w:rsidRDefault="003E6925" w:rsidP="003E6925">
            <w:r w:rsidRPr="003E6925">
              <w:t>Author</w:t>
            </w:r>
          </w:p>
        </w:tc>
        <w:tc>
          <w:tcPr>
            <w:tcW w:w="1671" w:type="dxa"/>
          </w:tcPr>
          <w:p w14:paraId="1D1B4BD2" w14:textId="77777777" w:rsidR="003E6925" w:rsidRPr="003E6925" w:rsidRDefault="003E6925" w:rsidP="003E6925">
            <w:r w:rsidRPr="003E6925">
              <w:t>Description</w:t>
            </w:r>
          </w:p>
        </w:tc>
        <w:tc>
          <w:tcPr>
            <w:tcW w:w="1610" w:type="dxa"/>
          </w:tcPr>
          <w:p w14:paraId="3B3877A7" w14:textId="77777777" w:rsidR="003E6925" w:rsidRPr="003E6925" w:rsidRDefault="003E6925" w:rsidP="003E6925">
            <w:r w:rsidRPr="003E6925">
              <w:t>Sections affected</w:t>
            </w:r>
          </w:p>
        </w:tc>
      </w:tr>
      <w:tr w:rsidR="003E6925" w:rsidRPr="000A3BA9" w14:paraId="224DB43A" w14:textId="77777777" w:rsidTr="003E6925">
        <w:tc>
          <w:tcPr>
            <w:tcW w:w="1664" w:type="dxa"/>
          </w:tcPr>
          <w:p w14:paraId="56F613F9" w14:textId="77777777" w:rsidR="003E6925" w:rsidRPr="003E6925" w:rsidRDefault="003E6925" w:rsidP="003E6925">
            <w:r w:rsidRPr="003E6925">
              <w:t>1.0</w:t>
            </w:r>
          </w:p>
        </w:tc>
        <w:tc>
          <w:tcPr>
            <w:tcW w:w="1617" w:type="dxa"/>
          </w:tcPr>
          <w:p w14:paraId="39690B4D" w14:textId="479338C7" w:rsidR="003E6925" w:rsidRPr="003E6925" w:rsidRDefault="003E6925" w:rsidP="003E6925">
            <w:r>
              <w:t>December 2024</w:t>
            </w:r>
          </w:p>
        </w:tc>
        <w:tc>
          <w:tcPr>
            <w:tcW w:w="1595" w:type="dxa"/>
          </w:tcPr>
          <w:p w14:paraId="0DE36CA1" w14:textId="3167A39E" w:rsidR="003E6925" w:rsidRPr="003E6925" w:rsidRDefault="003E6925" w:rsidP="003E6925">
            <w:r>
              <w:t>Swift</w:t>
            </w:r>
          </w:p>
        </w:tc>
        <w:tc>
          <w:tcPr>
            <w:tcW w:w="1671" w:type="dxa"/>
          </w:tcPr>
          <w:p w14:paraId="68CB264A" w14:textId="08164EA8" w:rsidR="003E6925" w:rsidRPr="003E6925" w:rsidRDefault="003E6925" w:rsidP="003E6925">
            <w:r w:rsidRPr="003E6925">
              <w:t>First draft version for review</w:t>
            </w:r>
          </w:p>
        </w:tc>
        <w:tc>
          <w:tcPr>
            <w:tcW w:w="1610" w:type="dxa"/>
          </w:tcPr>
          <w:p w14:paraId="5488E1DD" w14:textId="77777777" w:rsidR="003E6925" w:rsidRPr="003E6925" w:rsidRDefault="003E6925" w:rsidP="003E6925"/>
        </w:tc>
      </w:tr>
      <w:tr w:rsidR="003E6925" w:rsidRPr="000A3BA9" w14:paraId="7D3AB683" w14:textId="77777777" w:rsidTr="003E6925">
        <w:tc>
          <w:tcPr>
            <w:tcW w:w="1664" w:type="dxa"/>
          </w:tcPr>
          <w:p w14:paraId="1A07DFDA" w14:textId="77777777" w:rsidR="003E6925" w:rsidRPr="003E6925" w:rsidRDefault="003E6925" w:rsidP="003E6925">
            <w:r w:rsidRPr="003E6925">
              <w:t>2.0</w:t>
            </w:r>
          </w:p>
        </w:tc>
        <w:tc>
          <w:tcPr>
            <w:tcW w:w="1617" w:type="dxa"/>
          </w:tcPr>
          <w:p w14:paraId="3B236C50" w14:textId="77777777" w:rsidR="003E6925" w:rsidRPr="003E6925" w:rsidRDefault="003E6925" w:rsidP="003E6925">
            <w:r w:rsidRPr="003E6925">
              <w:t>February 2025</w:t>
            </w:r>
          </w:p>
        </w:tc>
        <w:tc>
          <w:tcPr>
            <w:tcW w:w="1595" w:type="dxa"/>
          </w:tcPr>
          <w:p w14:paraId="58FF02CA" w14:textId="38DC8C00" w:rsidR="003E6925" w:rsidRPr="003E6925" w:rsidRDefault="003E6925" w:rsidP="003E6925">
            <w:r>
              <w:t>ISO 20022 RA</w:t>
            </w:r>
          </w:p>
        </w:tc>
        <w:tc>
          <w:tcPr>
            <w:tcW w:w="1671" w:type="dxa"/>
          </w:tcPr>
          <w:p w14:paraId="4A1AF565" w14:textId="2C4ED75A" w:rsidR="003E6925" w:rsidRPr="003E6925" w:rsidRDefault="003E6925" w:rsidP="003E6925">
            <w:r>
              <w:t>Approved version</w:t>
            </w:r>
          </w:p>
        </w:tc>
        <w:tc>
          <w:tcPr>
            <w:tcW w:w="1610" w:type="dxa"/>
          </w:tcPr>
          <w:p w14:paraId="074500C2" w14:textId="4D187532" w:rsidR="003E6925" w:rsidRPr="003E6925" w:rsidRDefault="003E6925" w:rsidP="003E6925">
            <w:r>
              <w:t>All</w:t>
            </w:r>
          </w:p>
        </w:tc>
      </w:tr>
    </w:tbl>
    <w:p w14:paraId="5078CDF4" w14:textId="77777777" w:rsidR="003E6925" w:rsidRPr="003E6925" w:rsidRDefault="003E6925" w:rsidP="003E6925"/>
    <w:p w14:paraId="4581E7FA" w14:textId="77777777" w:rsidR="003E6925" w:rsidRPr="003E6925" w:rsidRDefault="003E6925" w:rsidP="003E6925">
      <w:r w:rsidRPr="003E6925">
        <w:rPr>
          <w:rStyle w:val="Bold"/>
        </w:rPr>
        <w:t>Disclaimer</w:t>
      </w:r>
      <w:r w:rsidRPr="003E6925">
        <w:t>:</w:t>
      </w:r>
    </w:p>
    <w:p w14:paraId="23AD2F99" w14:textId="77777777" w:rsidR="003E6925" w:rsidRPr="003E6925" w:rsidRDefault="003E6925" w:rsidP="003E6925">
      <w:r w:rsidRPr="003E6925">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607C8E3" w14:textId="77777777" w:rsidR="003E6925" w:rsidRPr="003E6925" w:rsidRDefault="003E6925" w:rsidP="003E6925">
      <w:r w:rsidRPr="003E6925">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33B2912B" w14:textId="77777777" w:rsidR="003E6925" w:rsidRPr="003E6925" w:rsidRDefault="003E6925" w:rsidP="003E6925"/>
    <w:p w14:paraId="6477FD41" w14:textId="77777777" w:rsidR="003E6925" w:rsidRPr="003E6925" w:rsidRDefault="003E6925" w:rsidP="003E6925">
      <w:r w:rsidRPr="001C56E5">
        <w:rPr>
          <w:rStyle w:val="Bold"/>
        </w:rPr>
        <w:t>Intellectual Property Rights</w:t>
      </w:r>
      <w:r w:rsidRPr="003E6925">
        <w:t>:</w:t>
      </w:r>
    </w:p>
    <w:p w14:paraId="6A3B9043" w14:textId="77777777" w:rsidR="003E6925" w:rsidRPr="003E6925" w:rsidRDefault="003E6925" w:rsidP="003E6925">
      <w:r w:rsidRPr="003E6925">
        <w:t>The ISO 20022 MessageDefinitions described in this document were contributed by SWIFT. The ISO 20022 IPR policy is available at www.ISO20022.org &gt; About ISO 20022 &gt; Intellectual Property Rights.</w:t>
      </w:r>
    </w:p>
    <w:p w14:paraId="0A1A3887" w14:textId="77777777" w:rsidR="003E6925" w:rsidRDefault="003E6925" w:rsidP="003E6925"/>
    <w:sectPr w:rsidR="003E6925" w:rsidSect="003E6925">
      <w:headerReference w:type="default" r:id="rId44"/>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A7698" w14:textId="77777777" w:rsidR="00AF686F" w:rsidRDefault="00AF686F" w:rsidP="005A6353">
      <w:r>
        <w:separator/>
      </w:r>
    </w:p>
  </w:endnote>
  <w:endnote w:type="continuationSeparator" w:id="0">
    <w:p w14:paraId="412527EA" w14:textId="77777777" w:rsidR="00AF686F" w:rsidRDefault="00AF686F"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54317"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022F0126" w14:textId="77777777" w:rsidTr="000E2675">
      <w:trPr>
        <w:cantSplit/>
        <w:trHeight w:hRule="exact" w:val="50"/>
      </w:trPr>
      <w:tc>
        <w:tcPr>
          <w:tcW w:w="9242" w:type="dxa"/>
        </w:tcPr>
        <w:p w14:paraId="65FBA67D" w14:textId="77777777" w:rsidR="000943E2" w:rsidRDefault="000943E2" w:rsidP="005A6353"/>
      </w:tc>
    </w:tr>
  </w:tbl>
  <w:p w14:paraId="604BCC52"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2C3C1" w14:textId="77777777" w:rsidR="000943E2" w:rsidRDefault="000943E2"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943E2" w14:paraId="6D3E657C" w14:textId="77777777" w:rsidTr="006E0076">
      <w:tc>
        <w:tcPr>
          <w:tcW w:w="4253" w:type="dxa"/>
        </w:tcPr>
        <w:p w14:paraId="262CBA7A" w14:textId="68CDD46F" w:rsidR="000943E2" w:rsidRDefault="000943E2" w:rsidP="000017C4">
          <w:pPr>
            <w:pStyle w:val="Footereven"/>
            <w:rPr>
              <w:noProof/>
            </w:rPr>
          </w:pPr>
          <w:r>
            <w:rPr>
              <w:noProof/>
            </w:rPr>
            <w:fldChar w:fldCharType="begin"/>
          </w:r>
          <w:r>
            <w:rPr>
              <w:noProof/>
              <w:lang w:eastAsia="en-US"/>
            </w:rPr>
            <w:instrText xml:space="preserve"> STYLEREF  "Product Name"  \* MERGEFORMAT </w:instrText>
          </w:r>
          <w:r>
            <w:rPr>
              <w:noProof/>
            </w:rPr>
            <w:fldChar w:fldCharType="separate"/>
          </w:r>
          <w:r w:rsidR="004E3C4E">
            <w:rPr>
              <w:noProof/>
              <w:lang w:eastAsia="en-US"/>
            </w:rPr>
            <w:t>Central CounterParty (CCP) Securities Clearing - Maintenance 2024 - 2025</w:t>
          </w:r>
          <w:r>
            <w:rPr>
              <w:noProof/>
            </w:rPr>
            <w:fldChar w:fldCharType="end"/>
          </w:r>
        </w:p>
        <w:p w14:paraId="1CFA9B6F" w14:textId="77777777" w:rsidR="000943E2" w:rsidRPr="006E0076" w:rsidRDefault="000943E2" w:rsidP="006E0076">
          <w:pPr>
            <w:pStyle w:val="Footerodd"/>
          </w:pPr>
        </w:p>
      </w:tc>
      <w:tc>
        <w:tcPr>
          <w:tcW w:w="567" w:type="dxa"/>
        </w:tcPr>
        <w:p w14:paraId="5529C53E" w14:textId="77777777" w:rsidR="000943E2" w:rsidRDefault="000943E2" w:rsidP="000017C4">
          <w:pPr>
            <w:pStyle w:val="Footereven"/>
          </w:pPr>
          <w:r>
            <w:rPr>
              <w:rFonts w:eastAsia="Times"/>
            </w:rPr>
            <w:fldChar w:fldCharType="begin"/>
          </w:r>
          <w:r>
            <w:rPr>
              <w:rFonts w:eastAsia="Times"/>
            </w:rPr>
            <w:instrText xml:space="preserve"> PAGE </w:instrText>
          </w:r>
          <w:r>
            <w:rPr>
              <w:rFonts w:eastAsia="Times"/>
            </w:rPr>
            <w:fldChar w:fldCharType="separate"/>
          </w:r>
          <w:r w:rsidR="001F4393">
            <w:rPr>
              <w:rFonts w:eastAsia="Times"/>
              <w:noProof/>
            </w:rPr>
            <w:t>37</w:t>
          </w:r>
          <w:r>
            <w:rPr>
              <w:rFonts w:eastAsia="Times"/>
            </w:rPr>
            <w:fldChar w:fldCharType="end"/>
          </w:r>
        </w:p>
      </w:tc>
      <w:tc>
        <w:tcPr>
          <w:tcW w:w="4394" w:type="dxa"/>
        </w:tcPr>
        <w:p w14:paraId="3E80C626" w14:textId="605E61F3" w:rsidR="000943E2" w:rsidRDefault="000943E2" w:rsidP="001F4393">
          <w:pPr>
            <w:pStyle w:val="Footereven"/>
            <w:tabs>
              <w:tab w:val="center" w:pos="2197"/>
              <w:tab w:val="right" w:pos="4394"/>
            </w:tabs>
          </w:pPr>
          <w:r>
            <w:tab/>
          </w:r>
          <w:r>
            <w:tab/>
          </w:r>
          <w:r w:rsidR="00AB512C">
            <w:t>February</w:t>
          </w:r>
          <w:r>
            <w:t xml:space="preserve"> 202</w:t>
          </w:r>
          <w:r w:rsidR="00AB512C">
            <w:t>5</w:t>
          </w:r>
        </w:p>
      </w:tc>
    </w:tr>
  </w:tbl>
  <w:p w14:paraId="0DC84368" w14:textId="77777777" w:rsidR="000943E2" w:rsidRPr="000017C4" w:rsidRDefault="000943E2" w:rsidP="000017C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EB5F6" w14:textId="77777777" w:rsidR="00305470" w:rsidRDefault="003054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78390" w14:textId="77777777" w:rsidR="00AF686F" w:rsidRDefault="00AF686F" w:rsidP="005A6353">
      <w:r>
        <w:separator/>
      </w:r>
    </w:p>
  </w:footnote>
  <w:footnote w:type="continuationSeparator" w:id="0">
    <w:p w14:paraId="515A47F9" w14:textId="77777777" w:rsidR="00AF686F" w:rsidRDefault="00AF686F" w:rsidP="005A6353">
      <w:r>
        <w:continuationSeparator/>
      </w:r>
    </w:p>
  </w:footnote>
  <w:footnote w:id="1">
    <w:p w14:paraId="166FB736" w14:textId="77777777" w:rsidR="00440B5A" w:rsidRDefault="00440B5A" w:rsidP="00440B5A">
      <w:pPr>
        <w:pStyle w:val="FootnoteText"/>
      </w:pPr>
      <w:r>
        <w:rPr>
          <w:rStyle w:val="FootnoteReference"/>
        </w:rPr>
        <w:footnoteRef/>
      </w:r>
      <w:r>
        <w:t xml:space="preserve"> </w:t>
      </w:r>
      <w:r w:rsidRPr="00E25C28">
        <w:rPr>
          <w:rFonts w:cs="Arial"/>
        </w:rPr>
        <w:t>National differences in the information technology and interfaces used by clearing and settlement providers should be eliminated via an EU-wide protocol. SWIFT should ensure the definition of this protocol through the Securities Market Practice Group (SMPG). Once defined, the protocol should be immediately adopted by the ESCB in respect of its operations</w:t>
      </w:r>
      <w:r w:rsidRPr="00E25C28">
        <w:rPr>
          <w:rFonts w:cs="Arial"/>
          <w:i/>
          <w:iCs/>
        </w:rPr>
        <w:t xml:space="preserve">. </w:t>
      </w:r>
      <w:r w:rsidRPr="00E25C28">
        <w:rPr>
          <w:rFonts w:cs="Arial"/>
        </w:rPr>
        <w:t>This barrier should be removed within a period of two years from the initiation of this project.</w:t>
      </w:r>
    </w:p>
  </w:footnote>
  <w:footnote w:id="2">
    <w:p w14:paraId="15CBA0B5" w14:textId="77777777" w:rsidR="003E6925" w:rsidRDefault="003E6925" w:rsidP="003E6925">
      <w:pPr>
        <w:pStyle w:val="FootnoteText"/>
      </w:pPr>
      <w:r>
        <w:rPr>
          <w:rStyle w:val="FootnoteReference"/>
        </w:rPr>
        <w:footnoteRef/>
      </w:r>
      <w:r>
        <w:t xml:space="preserve"> For SEPA payments please refer to the SEPA core direct debit scheme rulebook.</w:t>
      </w:r>
    </w:p>
  </w:footnote>
  <w:footnote w:id="3">
    <w:p w14:paraId="3FE10AFB" w14:textId="77777777" w:rsidR="003E6925" w:rsidRDefault="003E6925" w:rsidP="003E6925">
      <w:pPr>
        <w:pStyle w:val="FootnoteText"/>
      </w:pPr>
      <w:r>
        <w:rPr>
          <w:rStyle w:val="FootnoteReference"/>
        </w:rPr>
        <w:footnoteRef/>
      </w:r>
      <w:r>
        <w:t xml:space="preserve"> Please refer to Settlement and Reconciliation Message Usage Guide for more information</w:t>
      </w:r>
    </w:p>
  </w:footnote>
  <w:footnote w:id="4">
    <w:p w14:paraId="376F271C" w14:textId="77777777" w:rsidR="003E6925" w:rsidRDefault="003E6925" w:rsidP="003E6925">
      <w:pPr>
        <w:pStyle w:val="FootnoteText"/>
      </w:pPr>
      <w:r>
        <w:rPr>
          <w:rStyle w:val="FootnoteReference"/>
        </w:rPr>
        <w:footnoteRef/>
      </w:r>
      <w:r>
        <w:t xml:space="preserve"> Please refer to Settlement and Reconciliation Message Usage Guide for more information</w:t>
      </w:r>
    </w:p>
  </w:footnote>
  <w:footnote w:id="5">
    <w:p w14:paraId="3E3C348A" w14:textId="77777777" w:rsidR="003E6925" w:rsidRDefault="003E6925" w:rsidP="003E6925">
      <w:pPr>
        <w:pStyle w:val="FootnoteText"/>
      </w:pPr>
      <w:r>
        <w:rPr>
          <w:rStyle w:val="FootnoteReference"/>
        </w:rPr>
        <w:footnoteRef/>
      </w:r>
      <w:r>
        <w:t xml:space="preserve"> For SEPA payments, plus refer to the SEPA core direct debit scheme rulebook</w:t>
      </w:r>
    </w:p>
  </w:footnote>
  <w:footnote w:id="6">
    <w:p w14:paraId="26B86408" w14:textId="77777777" w:rsidR="003E6925" w:rsidRDefault="003E6925" w:rsidP="003E6925">
      <w:pPr>
        <w:pStyle w:val="FootnoteText"/>
      </w:pPr>
      <w:r>
        <w:rPr>
          <w:rStyle w:val="FootnoteReference"/>
        </w:rPr>
        <w:footnoteRef/>
      </w:r>
      <w:r>
        <w:t xml:space="preserve"> Please refer to Settlement and Reconciliation Message Usage Guide for more information</w:t>
      </w:r>
    </w:p>
  </w:footnote>
  <w:footnote w:id="7">
    <w:p w14:paraId="0AE24ED7" w14:textId="77777777" w:rsidR="003E6925" w:rsidRDefault="003E6925" w:rsidP="003E6925">
      <w:pPr>
        <w:pStyle w:val="FootnoteText"/>
      </w:pPr>
      <w:r>
        <w:rPr>
          <w:rStyle w:val="FootnoteReference"/>
        </w:rPr>
        <w:footnoteRef/>
      </w:r>
      <w:r>
        <w:t xml:space="preserve"> For SEPA payments, please refer to the SEPA core direct debit scheme rulebook</w:t>
      </w:r>
    </w:p>
  </w:footnote>
  <w:footnote w:id="8">
    <w:p w14:paraId="26F74FF8" w14:textId="77777777" w:rsidR="003E6925" w:rsidRDefault="003E6925" w:rsidP="003E6925">
      <w:pPr>
        <w:pStyle w:val="FootnoteText"/>
      </w:pPr>
      <w:r>
        <w:rPr>
          <w:rStyle w:val="FootnoteReference"/>
        </w:rPr>
        <w:footnoteRef/>
      </w:r>
      <w:r>
        <w:t xml:space="preserve"> Please refer to Settlement and Reconciliation Message Usage Guide for more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5F305" w14:textId="77777777" w:rsidR="000943E2" w:rsidRDefault="000943E2"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D510ED">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D510ED">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3D9CC54D" w14:textId="77777777" w:rsidTr="000E2675">
      <w:trPr>
        <w:cantSplit/>
        <w:trHeight w:hRule="exact" w:val="50"/>
      </w:trPr>
      <w:tc>
        <w:tcPr>
          <w:tcW w:w="9242" w:type="dxa"/>
        </w:tcPr>
        <w:p w14:paraId="7FD8DCD5" w14:textId="77777777" w:rsidR="000943E2" w:rsidRDefault="000943E2" w:rsidP="005A6353"/>
      </w:tc>
    </w:tr>
  </w:tbl>
  <w:p w14:paraId="4249E06E" w14:textId="77777777" w:rsidR="000943E2" w:rsidRDefault="000943E2"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2D1EE" w14:textId="77777777" w:rsidR="000943E2" w:rsidRDefault="000943E2" w:rsidP="00C331E3">
    <w:pPr>
      <w:pStyle w:val="Headerodd"/>
      <w:pBdr>
        <w:bottom w:val="double" w:sz="4" w:space="1" w:color="auto"/>
      </w:pBdr>
      <w:spacing w:before="120" w:line="240" w:lineRule="atLeast"/>
    </w:pPr>
  </w:p>
  <w:p w14:paraId="6F3C4C82" w14:textId="54A8605E" w:rsidR="000943E2" w:rsidRDefault="000943E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4E3C4E">
      <w:rPr>
        <w:noProof/>
      </w:rPr>
      <w:t>Message Definition Report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4E3C4E">
      <w:rPr>
        <w:noProof/>
      </w:rPr>
      <w:t>Table of Contents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0CE52" w14:textId="77777777" w:rsidR="00305470" w:rsidRDefault="003054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C171" w14:textId="77777777" w:rsidR="000943E2" w:rsidRDefault="000943E2" w:rsidP="00E20C1F">
    <w:pPr>
      <w:pStyle w:val="Headerodd"/>
      <w:pBdr>
        <w:bottom w:val="double" w:sz="4" w:space="1" w:color="auto"/>
      </w:pBdr>
      <w:spacing w:line="240" w:lineRule="atLeast"/>
    </w:pPr>
  </w:p>
  <w:p w14:paraId="62D8C79E" w14:textId="1D418EEB" w:rsidR="000943E2" w:rsidRDefault="000943E2"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4E3C4E">
      <w:rPr>
        <w:noProof/>
      </w:rPr>
      <w:t>Message Definition Report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4E3C4E">
      <w:rPr>
        <w:noProof/>
      </w:rPr>
      <w:t>Introduction</w:t>
    </w:r>
    <w:r>
      <w:rPr>
        <w:noProof/>
      </w:rPr>
      <w:fldChar w:fldCharType="end"/>
    </w:r>
  </w:p>
  <w:p w14:paraId="316EE1C0" w14:textId="77777777" w:rsidR="000943E2" w:rsidRDefault="000943E2"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60E7C61"/>
    <w:multiLevelType w:val="hybridMultilevel"/>
    <w:tmpl w:val="BD76F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1977AB"/>
    <w:multiLevelType w:val="hybridMultilevel"/>
    <w:tmpl w:val="801E9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8C7D8F"/>
    <w:multiLevelType w:val="hybridMultilevel"/>
    <w:tmpl w:val="66403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BA83900"/>
    <w:multiLevelType w:val="hybridMultilevel"/>
    <w:tmpl w:val="0458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A31201"/>
    <w:multiLevelType w:val="hybridMultilevel"/>
    <w:tmpl w:val="C3485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9"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0"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CA5B40"/>
    <w:multiLevelType w:val="hybridMultilevel"/>
    <w:tmpl w:val="DB644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5" w15:restartNumberingAfterBreak="0">
    <w:nsid w:val="56623447"/>
    <w:multiLevelType w:val="hybridMultilevel"/>
    <w:tmpl w:val="AB2AD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937BB8"/>
    <w:multiLevelType w:val="hybridMultilevel"/>
    <w:tmpl w:val="C456D48E"/>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070C8C"/>
    <w:multiLevelType w:val="hybridMultilevel"/>
    <w:tmpl w:val="1A2C4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9" w15:restartNumberingAfterBreak="0">
    <w:nsid w:val="7A236314"/>
    <w:multiLevelType w:val="hybridMultilevel"/>
    <w:tmpl w:val="919A4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1"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2"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253509769">
    <w:abstractNumId w:val="30"/>
  </w:num>
  <w:num w:numId="2" w16cid:durableId="819270471">
    <w:abstractNumId w:val="28"/>
  </w:num>
  <w:num w:numId="3" w16cid:durableId="1725836018">
    <w:abstractNumId w:val="19"/>
  </w:num>
  <w:num w:numId="4" w16cid:durableId="1338072849">
    <w:abstractNumId w:val="31"/>
  </w:num>
  <w:num w:numId="5" w16cid:durableId="1018388746">
    <w:abstractNumId w:val="8"/>
  </w:num>
  <w:num w:numId="6" w16cid:durableId="543755324">
    <w:abstractNumId w:val="6"/>
  </w:num>
  <w:num w:numId="7" w16cid:durableId="1366979595">
    <w:abstractNumId w:val="5"/>
  </w:num>
  <w:num w:numId="8" w16cid:durableId="24986866">
    <w:abstractNumId w:val="4"/>
  </w:num>
  <w:num w:numId="9" w16cid:durableId="675033583">
    <w:abstractNumId w:val="3"/>
  </w:num>
  <w:num w:numId="10" w16cid:durableId="1541629381">
    <w:abstractNumId w:val="7"/>
  </w:num>
  <w:num w:numId="11" w16cid:durableId="972448650">
    <w:abstractNumId w:val="1"/>
  </w:num>
  <w:num w:numId="12" w16cid:durableId="1168323239">
    <w:abstractNumId w:val="0"/>
  </w:num>
  <w:num w:numId="13" w16cid:durableId="1059789417">
    <w:abstractNumId w:val="24"/>
  </w:num>
  <w:num w:numId="14" w16cid:durableId="1404178769">
    <w:abstractNumId w:val="32"/>
  </w:num>
  <w:num w:numId="15" w16cid:durableId="1717924325">
    <w:abstractNumId w:val="2"/>
  </w:num>
  <w:num w:numId="16" w16cid:durableId="1030956776">
    <w:abstractNumId w:val="15"/>
  </w:num>
  <w:num w:numId="17" w16cid:durableId="584919422">
    <w:abstractNumId w:val="10"/>
  </w:num>
  <w:num w:numId="18" w16cid:durableId="1573615788">
    <w:abstractNumId w:val="18"/>
  </w:num>
  <w:num w:numId="19" w16cid:durableId="357975031">
    <w:abstractNumId w:val="9"/>
  </w:num>
  <w:num w:numId="20" w16cid:durableId="700783484">
    <w:abstractNumId w:val="20"/>
  </w:num>
  <w:num w:numId="21" w16cid:durableId="231239822">
    <w:abstractNumId w:val="23"/>
  </w:num>
  <w:num w:numId="22" w16cid:durableId="261377144">
    <w:abstractNumId w:val="7"/>
    <w:lvlOverride w:ilvl="0">
      <w:startOverride w:val="1"/>
    </w:lvlOverride>
  </w:num>
  <w:num w:numId="23" w16cid:durableId="1322924661">
    <w:abstractNumId w:val="7"/>
    <w:lvlOverride w:ilvl="0">
      <w:startOverride w:val="1"/>
    </w:lvlOverride>
  </w:num>
  <w:num w:numId="24" w16cid:durableId="830172793">
    <w:abstractNumId w:val="7"/>
    <w:lvlOverride w:ilvl="0">
      <w:startOverride w:val="1"/>
    </w:lvlOverride>
  </w:num>
  <w:num w:numId="25" w16cid:durableId="466707908">
    <w:abstractNumId w:val="7"/>
    <w:lvlOverride w:ilvl="0">
      <w:startOverride w:val="1"/>
    </w:lvlOverride>
  </w:num>
  <w:num w:numId="26" w16cid:durableId="1700087703">
    <w:abstractNumId w:val="7"/>
    <w:lvlOverride w:ilvl="0">
      <w:startOverride w:val="1"/>
    </w:lvlOverride>
  </w:num>
  <w:num w:numId="27" w16cid:durableId="2081756104">
    <w:abstractNumId w:val="27"/>
  </w:num>
  <w:num w:numId="28" w16cid:durableId="1524248713">
    <w:abstractNumId w:val="12"/>
  </w:num>
  <w:num w:numId="29" w16cid:durableId="853374581">
    <w:abstractNumId w:val="22"/>
  </w:num>
  <w:num w:numId="30" w16cid:durableId="1232231522">
    <w:abstractNumId w:val="25"/>
  </w:num>
  <w:num w:numId="31" w16cid:durableId="258149705">
    <w:abstractNumId w:val="16"/>
  </w:num>
  <w:num w:numId="32" w16cid:durableId="783767582">
    <w:abstractNumId w:val="29"/>
  </w:num>
  <w:num w:numId="33" w16cid:durableId="1255287999">
    <w:abstractNumId w:val="17"/>
  </w:num>
  <w:num w:numId="34" w16cid:durableId="355498557">
    <w:abstractNumId w:val="11"/>
  </w:num>
  <w:num w:numId="35" w16cid:durableId="1849832316">
    <w:abstractNumId w:val="14"/>
  </w:num>
  <w:num w:numId="36" w16cid:durableId="614287597">
    <w:abstractNumId w:val="21"/>
  </w:num>
  <w:num w:numId="37" w16cid:durableId="866455635">
    <w:abstractNumId w:val="13"/>
  </w:num>
  <w:num w:numId="38" w16cid:durableId="957447913">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0ED"/>
    <w:rsid w:val="000017C4"/>
    <w:rsid w:val="0000191D"/>
    <w:rsid w:val="00001AC8"/>
    <w:rsid w:val="00002EE3"/>
    <w:rsid w:val="0000764E"/>
    <w:rsid w:val="00012387"/>
    <w:rsid w:val="00021790"/>
    <w:rsid w:val="00022175"/>
    <w:rsid w:val="00022528"/>
    <w:rsid w:val="00026814"/>
    <w:rsid w:val="00027C67"/>
    <w:rsid w:val="00033355"/>
    <w:rsid w:val="000353A8"/>
    <w:rsid w:val="0003731C"/>
    <w:rsid w:val="0004007E"/>
    <w:rsid w:val="000408B1"/>
    <w:rsid w:val="00040BDA"/>
    <w:rsid w:val="00043FDC"/>
    <w:rsid w:val="00047825"/>
    <w:rsid w:val="00050F1F"/>
    <w:rsid w:val="00054F3B"/>
    <w:rsid w:val="000579C1"/>
    <w:rsid w:val="000612B5"/>
    <w:rsid w:val="00061661"/>
    <w:rsid w:val="00064E57"/>
    <w:rsid w:val="000657EA"/>
    <w:rsid w:val="00065915"/>
    <w:rsid w:val="00071606"/>
    <w:rsid w:val="00072427"/>
    <w:rsid w:val="00074109"/>
    <w:rsid w:val="000775D4"/>
    <w:rsid w:val="00077A6B"/>
    <w:rsid w:val="0008028F"/>
    <w:rsid w:val="000851E4"/>
    <w:rsid w:val="0008688D"/>
    <w:rsid w:val="000877E0"/>
    <w:rsid w:val="000906F7"/>
    <w:rsid w:val="000939C8"/>
    <w:rsid w:val="000943E2"/>
    <w:rsid w:val="00095809"/>
    <w:rsid w:val="00096E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AEF"/>
    <w:rsid w:val="000D5135"/>
    <w:rsid w:val="000D5FC4"/>
    <w:rsid w:val="000D6E4E"/>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086A"/>
    <w:rsid w:val="00165005"/>
    <w:rsid w:val="00165A7B"/>
    <w:rsid w:val="001703A8"/>
    <w:rsid w:val="0017372E"/>
    <w:rsid w:val="001744B1"/>
    <w:rsid w:val="00176D27"/>
    <w:rsid w:val="001834B7"/>
    <w:rsid w:val="00184FF4"/>
    <w:rsid w:val="0018709A"/>
    <w:rsid w:val="001876E4"/>
    <w:rsid w:val="0018776B"/>
    <w:rsid w:val="001936A1"/>
    <w:rsid w:val="00194DE2"/>
    <w:rsid w:val="00195758"/>
    <w:rsid w:val="00197DF2"/>
    <w:rsid w:val="001A43DE"/>
    <w:rsid w:val="001A46C4"/>
    <w:rsid w:val="001B43EC"/>
    <w:rsid w:val="001C1507"/>
    <w:rsid w:val="001C23B2"/>
    <w:rsid w:val="001C280A"/>
    <w:rsid w:val="001C56E5"/>
    <w:rsid w:val="001C590F"/>
    <w:rsid w:val="001C5B21"/>
    <w:rsid w:val="001C6449"/>
    <w:rsid w:val="001D1C3E"/>
    <w:rsid w:val="001D2EF3"/>
    <w:rsid w:val="001D7165"/>
    <w:rsid w:val="001E1ED4"/>
    <w:rsid w:val="001E3726"/>
    <w:rsid w:val="001E3863"/>
    <w:rsid w:val="001E571F"/>
    <w:rsid w:val="001E6C2F"/>
    <w:rsid w:val="001E7ECC"/>
    <w:rsid w:val="001F3010"/>
    <w:rsid w:val="001F4393"/>
    <w:rsid w:val="001F5B47"/>
    <w:rsid w:val="001F5BB3"/>
    <w:rsid w:val="00200C0C"/>
    <w:rsid w:val="00201F40"/>
    <w:rsid w:val="00202218"/>
    <w:rsid w:val="00202409"/>
    <w:rsid w:val="002024C8"/>
    <w:rsid w:val="00203EB9"/>
    <w:rsid w:val="0020498B"/>
    <w:rsid w:val="00214D55"/>
    <w:rsid w:val="00215351"/>
    <w:rsid w:val="0021752D"/>
    <w:rsid w:val="0021786C"/>
    <w:rsid w:val="00221872"/>
    <w:rsid w:val="00221C92"/>
    <w:rsid w:val="00222090"/>
    <w:rsid w:val="00223ABE"/>
    <w:rsid w:val="002240CE"/>
    <w:rsid w:val="00225DE5"/>
    <w:rsid w:val="00233B18"/>
    <w:rsid w:val="00235E0C"/>
    <w:rsid w:val="0023645B"/>
    <w:rsid w:val="00236B8A"/>
    <w:rsid w:val="00236C6A"/>
    <w:rsid w:val="00237847"/>
    <w:rsid w:val="00241336"/>
    <w:rsid w:val="00243E68"/>
    <w:rsid w:val="00246684"/>
    <w:rsid w:val="00246AF9"/>
    <w:rsid w:val="00246C22"/>
    <w:rsid w:val="002509E5"/>
    <w:rsid w:val="00251978"/>
    <w:rsid w:val="002555E2"/>
    <w:rsid w:val="00256BEE"/>
    <w:rsid w:val="00257E69"/>
    <w:rsid w:val="002626DA"/>
    <w:rsid w:val="002701E6"/>
    <w:rsid w:val="0027190E"/>
    <w:rsid w:val="00271B69"/>
    <w:rsid w:val="0027357E"/>
    <w:rsid w:val="002742C5"/>
    <w:rsid w:val="00280B82"/>
    <w:rsid w:val="00281D72"/>
    <w:rsid w:val="00282FC2"/>
    <w:rsid w:val="002844C5"/>
    <w:rsid w:val="00286BFB"/>
    <w:rsid w:val="00287177"/>
    <w:rsid w:val="00292013"/>
    <w:rsid w:val="00297ABD"/>
    <w:rsid w:val="002A32C6"/>
    <w:rsid w:val="002A331D"/>
    <w:rsid w:val="002A3F47"/>
    <w:rsid w:val="002A6C1D"/>
    <w:rsid w:val="002A6E43"/>
    <w:rsid w:val="002A7935"/>
    <w:rsid w:val="002B205E"/>
    <w:rsid w:val="002B271A"/>
    <w:rsid w:val="002B48DB"/>
    <w:rsid w:val="002C2BE7"/>
    <w:rsid w:val="002C4ED0"/>
    <w:rsid w:val="002D0B82"/>
    <w:rsid w:val="002D0E51"/>
    <w:rsid w:val="002D26C0"/>
    <w:rsid w:val="002D3B7B"/>
    <w:rsid w:val="002D4D2B"/>
    <w:rsid w:val="002D5144"/>
    <w:rsid w:val="002D61FC"/>
    <w:rsid w:val="002D6766"/>
    <w:rsid w:val="002E1CB1"/>
    <w:rsid w:val="002E4358"/>
    <w:rsid w:val="002E78D3"/>
    <w:rsid w:val="002F0D01"/>
    <w:rsid w:val="002F0ECF"/>
    <w:rsid w:val="002F26F2"/>
    <w:rsid w:val="002F4124"/>
    <w:rsid w:val="002F434A"/>
    <w:rsid w:val="002F6D51"/>
    <w:rsid w:val="002F757C"/>
    <w:rsid w:val="003000FE"/>
    <w:rsid w:val="00302EB9"/>
    <w:rsid w:val="003032A8"/>
    <w:rsid w:val="00305470"/>
    <w:rsid w:val="0030697D"/>
    <w:rsid w:val="00307BA0"/>
    <w:rsid w:val="00307F6D"/>
    <w:rsid w:val="00311277"/>
    <w:rsid w:val="00312565"/>
    <w:rsid w:val="00323B78"/>
    <w:rsid w:val="003276C8"/>
    <w:rsid w:val="0033406B"/>
    <w:rsid w:val="003355DB"/>
    <w:rsid w:val="00340C02"/>
    <w:rsid w:val="003474F3"/>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3403"/>
    <w:rsid w:val="00387A3E"/>
    <w:rsid w:val="00387D4D"/>
    <w:rsid w:val="00390C64"/>
    <w:rsid w:val="003910D0"/>
    <w:rsid w:val="0039527E"/>
    <w:rsid w:val="00396448"/>
    <w:rsid w:val="00397178"/>
    <w:rsid w:val="003A1D4A"/>
    <w:rsid w:val="003A1D5C"/>
    <w:rsid w:val="003A26B0"/>
    <w:rsid w:val="003A2A43"/>
    <w:rsid w:val="003A364B"/>
    <w:rsid w:val="003A4180"/>
    <w:rsid w:val="003A6CAC"/>
    <w:rsid w:val="003A7BAD"/>
    <w:rsid w:val="003B0295"/>
    <w:rsid w:val="003B05FA"/>
    <w:rsid w:val="003B0F33"/>
    <w:rsid w:val="003B0FA1"/>
    <w:rsid w:val="003B17E8"/>
    <w:rsid w:val="003B183D"/>
    <w:rsid w:val="003B1846"/>
    <w:rsid w:val="003B3916"/>
    <w:rsid w:val="003B3B10"/>
    <w:rsid w:val="003B4A8D"/>
    <w:rsid w:val="003C3AD7"/>
    <w:rsid w:val="003C5953"/>
    <w:rsid w:val="003C7885"/>
    <w:rsid w:val="003C7DD2"/>
    <w:rsid w:val="003D0381"/>
    <w:rsid w:val="003D1038"/>
    <w:rsid w:val="003D18C9"/>
    <w:rsid w:val="003D5C0E"/>
    <w:rsid w:val="003D7590"/>
    <w:rsid w:val="003E4C38"/>
    <w:rsid w:val="003E5171"/>
    <w:rsid w:val="003E6925"/>
    <w:rsid w:val="003F3047"/>
    <w:rsid w:val="003F4CE9"/>
    <w:rsid w:val="003F570F"/>
    <w:rsid w:val="00400887"/>
    <w:rsid w:val="004035AD"/>
    <w:rsid w:val="00404F55"/>
    <w:rsid w:val="00407CD4"/>
    <w:rsid w:val="00416EB7"/>
    <w:rsid w:val="00422A04"/>
    <w:rsid w:val="00423208"/>
    <w:rsid w:val="0042596A"/>
    <w:rsid w:val="00427DE3"/>
    <w:rsid w:val="00431339"/>
    <w:rsid w:val="00436476"/>
    <w:rsid w:val="00440B5A"/>
    <w:rsid w:val="004445E7"/>
    <w:rsid w:val="00445638"/>
    <w:rsid w:val="00445A24"/>
    <w:rsid w:val="0045140F"/>
    <w:rsid w:val="004520C2"/>
    <w:rsid w:val="00452B93"/>
    <w:rsid w:val="0045413D"/>
    <w:rsid w:val="00454B39"/>
    <w:rsid w:val="00455B7B"/>
    <w:rsid w:val="00456CDF"/>
    <w:rsid w:val="00460123"/>
    <w:rsid w:val="00461A51"/>
    <w:rsid w:val="00461E97"/>
    <w:rsid w:val="0046271E"/>
    <w:rsid w:val="0046568E"/>
    <w:rsid w:val="00466424"/>
    <w:rsid w:val="00467622"/>
    <w:rsid w:val="004741C3"/>
    <w:rsid w:val="00476DF8"/>
    <w:rsid w:val="0048019C"/>
    <w:rsid w:val="004813B6"/>
    <w:rsid w:val="004816F7"/>
    <w:rsid w:val="00481DCB"/>
    <w:rsid w:val="00484C78"/>
    <w:rsid w:val="00485E19"/>
    <w:rsid w:val="004909DE"/>
    <w:rsid w:val="0049225E"/>
    <w:rsid w:val="00492D44"/>
    <w:rsid w:val="00493BE1"/>
    <w:rsid w:val="004A20C5"/>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3B98"/>
    <w:rsid w:val="004C6828"/>
    <w:rsid w:val="004C7075"/>
    <w:rsid w:val="004D01EB"/>
    <w:rsid w:val="004D6A21"/>
    <w:rsid w:val="004E2775"/>
    <w:rsid w:val="004E3C4E"/>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34730"/>
    <w:rsid w:val="005414BF"/>
    <w:rsid w:val="00541D70"/>
    <w:rsid w:val="00542BA6"/>
    <w:rsid w:val="00543CAD"/>
    <w:rsid w:val="0054502D"/>
    <w:rsid w:val="00546DC3"/>
    <w:rsid w:val="005627F5"/>
    <w:rsid w:val="005633B5"/>
    <w:rsid w:val="00566678"/>
    <w:rsid w:val="00570113"/>
    <w:rsid w:val="00572875"/>
    <w:rsid w:val="00572A49"/>
    <w:rsid w:val="005844D6"/>
    <w:rsid w:val="00584FAE"/>
    <w:rsid w:val="00590B92"/>
    <w:rsid w:val="00592CE2"/>
    <w:rsid w:val="005930E4"/>
    <w:rsid w:val="0059570F"/>
    <w:rsid w:val="0059725E"/>
    <w:rsid w:val="005A1FD7"/>
    <w:rsid w:val="005A5116"/>
    <w:rsid w:val="005A6353"/>
    <w:rsid w:val="005A756E"/>
    <w:rsid w:val="005B39A5"/>
    <w:rsid w:val="005B5734"/>
    <w:rsid w:val="005C079E"/>
    <w:rsid w:val="005C4C2A"/>
    <w:rsid w:val="005C7AFC"/>
    <w:rsid w:val="005D03B5"/>
    <w:rsid w:val="005D0E5B"/>
    <w:rsid w:val="005D0EDB"/>
    <w:rsid w:val="005D2228"/>
    <w:rsid w:val="005D2B45"/>
    <w:rsid w:val="005D6EE8"/>
    <w:rsid w:val="005D78D6"/>
    <w:rsid w:val="005E10B6"/>
    <w:rsid w:val="005E5087"/>
    <w:rsid w:val="005E59C1"/>
    <w:rsid w:val="005F1094"/>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0297"/>
    <w:rsid w:val="006222A1"/>
    <w:rsid w:val="006236C2"/>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652"/>
    <w:rsid w:val="00672DCF"/>
    <w:rsid w:val="00673030"/>
    <w:rsid w:val="00673863"/>
    <w:rsid w:val="00674866"/>
    <w:rsid w:val="00674C06"/>
    <w:rsid w:val="00675EAE"/>
    <w:rsid w:val="006821EA"/>
    <w:rsid w:val="006853A8"/>
    <w:rsid w:val="006864CC"/>
    <w:rsid w:val="00687109"/>
    <w:rsid w:val="0069044F"/>
    <w:rsid w:val="00690EB8"/>
    <w:rsid w:val="006948FC"/>
    <w:rsid w:val="00696CAB"/>
    <w:rsid w:val="00696E65"/>
    <w:rsid w:val="00696E8D"/>
    <w:rsid w:val="006A01A4"/>
    <w:rsid w:val="006A33D6"/>
    <w:rsid w:val="006B04CC"/>
    <w:rsid w:val="006B1C58"/>
    <w:rsid w:val="006B1E11"/>
    <w:rsid w:val="006B2756"/>
    <w:rsid w:val="006B355C"/>
    <w:rsid w:val="006B37FC"/>
    <w:rsid w:val="006B3AFA"/>
    <w:rsid w:val="006B6BE6"/>
    <w:rsid w:val="006C01B8"/>
    <w:rsid w:val="006C1D42"/>
    <w:rsid w:val="006C6987"/>
    <w:rsid w:val="006D0A4F"/>
    <w:rsid w:val="006D2BBD"/>
    <w:rsid w:val="006D4842"/>
    <w:rsid w:val="006D5ACE"/>
    <w:rsid w:val="006D64DA"/>
    <w:rsid w:val="006D7340"/>
    <w:rsid w:val="006E0076"/>
    <w:rsid w:val="006E1B15"/>
    <w:rsid w:val="006E1B82"/>
    <w:rsid w:val="006E2EDE"/>
    <w:rsid w:val="006E3A46"/>
    <w:rsid w:val="006E4C47"/>
    <w:rsid w:val="006E6727"/>
    <w:rsid w:val="006F02B1"/>
    <w:rsid w:val="006F13F9"/>
    <w:rsid w:val="006F34DD"/>
    <w:rsid w:val="006F3E40"/>
    <w:rsid w:val="007023C9"/>
    <w:rsid w:val="0070375E"/>
    <w:rsid w:val="0071144A"/>
    <w:rsid w:val="00713A64"/>
    <w:rsid w:val="00714DA9"/>
    <w:rsid w:val="00715324"/>
    <w:rsid w:val="00715699"/>
    <w:rsid w:val="007162F9"/>
    <w:rsid w:val="00716795"/>
    <w:rsid w:val="007170E8"/>
    <w:rsid w:val="0072163A"/>
    <w:rsid w:val="00721F42"/>
    <w:rsid w:val="007229DD"/>
    <w:rsid w:val="00724AB5"/>
    <w:rsid w:val="00724AB7"/>
    <w:rsid w:val="007263C1"/>
    <w:rsid w:val="0072664C"/>
    <w:rsid w:val="00732596"/>
    <w:rsid w:val="00732FFF"/>
    <w:rsid w:val="007340D7"/>
    <w:rsid w:val="007354F6"/>
    <w:rsid w:val="007359D3"/>
    <w:rsid w:val="0073697C"/>
    <w:rsid w:val="00737C61"/>
    <w:rsid w:val="007420BE"/>
    <w:rsid w:val="00744B09"/>
    <w:rsid w:val="007508C1"/>
    <w:rsid w:val="00752897"/>
    <w:rsid w:val="00753AA3"/>
    <w:rsid w:val="00754E9C"/>
    <w:rsid w:val="0076027E"/>
    <w:rsid w:val="007604E8"/>
    <w:rsid w:val="00760B52"/>
    <w:rsid w:val="00761293"/>
    <w:rsid w:val="0076210E"/>
    <w:rsid w:val="00762BEC"/>
    <w:rsid w:val="0076456D"/>
    <w:rsid w:val="00765D5B"/>
    <w:rsid w:val="00766590"/>
    <w:rsid w:val="00770477"/>
    <w:rsid w:val="0077219E"/>
    <w:rsid w:val="0077552C"/>
    <w:rsid w:val="00775598"/>
    <w:rsid w:val="00775E06"/>
    <w:rsid w:val="00786C08"/>
    <w:rsid w:val="00790B1E"/>
    <w:rsid w:val="00790EE4"/>
    <w:rsid w:val="0079160C"/>
    <w:rsid w:val="00794E29"/>
    <w:rsid w:val="007953C5"/>
    <w:rsid w:val="00796F9C"/>
    <w:rsid w:val="007A1E85"/>
    <w:rsid w:val="007A1F4E"/>
    <w:rsid w:val="007A2E1D"/>
    <w:rsid w:val="007A4D68"/>
    <w:rsid w:val="007A51C0"/>
    <w:rsid w:val="007A7468"/>
    <w:rsid w:val="007B1740"/>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6F63"/>
    <w:rsid w:val="00817035"/>
    <w:rsid w:val="00817706"/>
    <w:rsid w:val="0082134C"/>
    <w:rsid w:val="00823E59"/>
    <w:rsid w:val="0082487E"/>
    <w:rsid w:val="0082523E"/>
    <w:rsid w:val="00825831"/>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8DF"/>
    <w:rsid w:val="00865D27"/>
    <w:rsid w:val="008676A8"/>
    <w:rsid w:val="00867BCC"/>
    <w:rsid w:val="0087013A"/>
    <w:rsid w:val="0087173A"/>
    <w:rsid w:val="008721B3"/>
    <w:rsid w:val="008735A2"/>
    <w:rsid w:val="0087680C"/>
    <w:rsid w:val="008778B5"/>
    <w:rsid w:val="008811B3"/>
    <w:rsid w:val="008824F5"/>
    <w:rsid w:val="00883E82"/>
    <w:rsid w:val="00884DF1"/>
    <w:rsid w:val="00886DD7"/>
    <w:rsid w:val="00887512"/>
    <w:rsid w:val="008906DA"/>
    <w:rsid w:val="0089267E"/>
    <w:rsid w:val="008937F9"/>
    <w:rsid w:val="00894971"/>
    <w:rsid w:val="00896B55"/>
    <w:rsid w:val="00896C7D"/>
    <w:rsid w:val="008A1EDA"/>
    <w:rsid w:val="008A2F65"/>
    <w:rsid w:val="008A3651"/>
    <w:rsid w:val="008A4D89"/>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6E6"/>
    <w:rsid w:val="008F0EC2"/>
    <w:rsid w:val="008F15A3"/>
    <w:rsid w:val="008F1878"/>
    <w:rsid w:val="008F2426"/>
    <w:rsid w:val="008F55DB"/>
    <w:rsid w:val="008F72B6"/>
    <w:rsid w:val="00903BF6"/>
    <w:rsid w:val="00904F04"/>
    <w:rsid w:val="00906576"/>
    <w:rsid w:val="0090798F"/>
    <w:rsid w:val="00915205"/>
    <w:rsid w:val="00920C62"/>
    <w:rsid w:val="00924BDC"/>
    <w:rsid w:val="00924C2D"/>
    <w:rsid w:val="00925B08"/>
    <w:rsid w:val="0092643F"/>
    <w:rsid w:val="00927489"/>
    <w:rsid w:val="00927729"/>
    <w:rsid w:val="00927978"/>
    <w:rsid w:val="00931B59"/>
    <w:rsid w:val="00933DC1"/>
    <w:rsid w:val="0093485B"/>
    <w:rsid w:val="00935ED6"/>
    <w:rsid w:val="00935F9D"/>
    <w:rsid w:val="0093666B"/>
    <w:rsid w:val="00936F11"/>
    <w:rsid w:val="009370C1"/>
    <w:rsid w:val="009401D9"/>
    <w:rsid w:val="009420FB"/>
    <w:rsid w:val="009446E6"/>
    <w:rsid w:val="0094587D"/>
    <w:rsid w:val="009462D4"/>
    <w:rsid w:val="00947E8A"/>
    <w:rsid w:val="0095001F"/>
    <w:rsid w:val="0095072B"/>
    <w:rsid w:val="0095340B"/>
    <w:rsid w:val="009534D0"/>
    <w:rsid w:val="00955638"/>
    <w:rsid w:val="00957D73"/>
    <w:rsid w:val="00957DC7"/>
    <w:rsid w:val="00960A6B"/>
    <w:rsid w:val="009611A8"/>
    <w:rsid w:val="00962286"/>
    <w:rsid w:val="0096292A"/>
    <w:rsid w:val="009635AF"/>
    <w:rsid w:val="00965BA7"/>
    <w:rsid w:val="00970DC8"/>
    <w:rsid w:val="00975EA8"/>
    <w:rsid w:val="009808FE"/>
    <w:rsid w:val="00981939"/>
    <w:rsid w:val="00986F99"/>
    <w:rsid w:val="009928B3"/>
    <w:rsid w:val="00992D89"/>
    <w:rsid w:val="0099388A"/>
    <w:rsid w:val="009A0BF3"/>
    <w:rsid w:val="009A33BB"/>
    <w:rsid w:val="009A3C17"/>
    <w:rsid w:val="009B233A"/>
    <w:rsid w:val="009B7229"/>
    <w:rsid w:val="009B78E7"/>
    <w:rsid w:val="009C02DF"/>
    <w:rsid w:val="009C186B"/>
    <w:rsid w:val="009C3408"/>
    <w:rsid w:val="009C3882"/>
    <w:rsid w:val="009C44F2"/>
    <w:rsid w:val="009C6DA1"/>
    <w:rsid w:val="009D1817"/>
    <w:rsid w:val="009D23B9"/>
    <w:rsid w:val="009D3DD0"/>
    <w:rsid w:val="009D3EDD"/>
    <w:rsid w:val="009D5D42"/>
    <w:rsid w:val="009D5F6D"/>
    <w:rsid w:val="009D674F"/>
    <w:rsid w:val="009D7B4C"/>
    <w:rsid w:val="009E0923"/>
    <w:rsid w:val="009E3228"/>
    <w:rsid w:val="009E3F8E"/>
    <w:rsid w:val="009E4172"/>
    <w:rsid w:val="009E4D25"/>
    <w:rsid w:val="009E5DDB"/>
    <w:rsid w:val="009E5EFE"/>
    <w:rsid w:val="009F1A9D"/>
    <w:rsid w:val="009F4165"/>
    <w:rsid w:val="009F457E"/>
    <w:rsid w:val="009F520D"/>
    <w:rsid w:val="009F7EC9"/>
    <w:rsid w:val="00A0016F"/>
    <w:rsid w:val="00A03CA2"/>
    <w:rsid w:val="00A04B09"/>
    <w:rsid w:val="00A04E5F"/>
    <w:rsid w:val="00A0681B"/>
    <w:rsid w:val="00A072D1"/>
    <w:rsid w:val="00A12679"/>
    <w:rsid w:val="00A127B6"/>
    <w:rsid w:val="00A13C61"/>
    <w:rsid w:val="00A13ED4"/>
    <w:rsid w:val="00A145AC"/>
    <w:rsid w:val="00A23189"/>
    <w:rsid w:val="00A27EAD"/>
    <w:rsid w:val="00A327F0"/>
    <w:rsid w:val="00A35A86"/>
    <w:rsid w:val="00A364FF"/>
    <w:rsid w:val="00A37F60"/>
    <w:rsid w:val="00A421CC"/>
    <w:rsid w:val="00A42BB2"/>
    <w:rsid w:val="00A45AFD"/>
    <w:rsid w:val="00A45E56"/>
    <w:rsid w:val="00A51A1F"/>
    <w:rsid w:val="00A53497"/>
    <w:rsid w:val="00A55964"/>
    <w:rsid w:val="00A570C8"/>
    <w:rsid w:val="00A604B9"/>
    <w:rsid w:val="00A60AE6"/>
    <w:rsid w:val="00A622E9"/>
    <w:rsid w:val="00A656A0"/>
    <w:rsid w:val="00A70474"/>
    <w:rsid w:val="00A7072B"/>
    <w:rsid w:val="00A70C0C"/>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5407"/>
    <w:rsid w:val="00AA665D"/>
    <w:rsid w:val="00AA6CDC"/>
    <w:rsid w:val="00AA6F86"/>
    <w:rsid w:val="00AB0C62"/>
    <w:rsid w:val="00AB1EE7"/>
    <w:rsid w:val="00AB1F00"/>
    <w:rsid w:val="00AB512C"/>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686F"/>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4947"/>
    <w:rsid w:val="00B35902"/>
    <w:rsid w:val="00B373C9"/>
    <w:rsid w:val="00B4044F"/>
    <w:rsid w:val="00B415AD"/>
    <w:rsid w:val="00B423A5"/>
    <w:rsid w:val="00B42C79"/>
    <w:rsid w:val="00B4320D"/>
    <w:rsid w:val="00B45250"/>
    <w:rsid w:val="00B4531D"/>
    <w:rsid w:val="00B4779F"/>
    <w:rsid w:val="00B5361E"/>
    <w:rsid w:val="00B5372E"/>
    <w:rsid w:val="00B5567F"/>
    <w:rsid w:val="00B60960"/>
    <w:rsid w:val="00B62632"/>
    <w:rsid w:val="00B6502D"/>
    <w:rsid w:val="00B720D7"/>
    <w:rsid w:val="00B72471"/>
    <w:rsid w:val="00B72A17"/>
    <w:rsid w:val="00B75165"/>
    <w:rsid w:val="00B76F56"/>
    <w:rsid w:val="00B820B7"/>
    <w:rsid w:val="00B825EE"/>
    <w:rsid w:val="00B84499"/>
    <w:rsid w:val="00B85D30"/>
    <w:rsid w:val="00B86CCF"/>
    <w:rsid w:val="00B878F6"/>
    <w:rsid w:val="00B90FDF"/>
    <w:rsid w:val="00B936A3"/>
    <w:rsid w:val="00BA0270"/>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168"/>
    <w:rsid w:val="00BE6BFF"/>
    <w:rsid w:val="00BE7691"/>
    <w:rsid w:val="00BF287C"/>
    <w:rsid w:val="00BF2C6C"/>
    <w:rsid w:val="00BF3FB9"/>
    <w:rsid w:val="00BF72E6"/>
    <w:rsid w:val="00C00225"/>
    <w:rsid w:val="00C040C0"/>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E6B"/>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96"/>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E7FC7"/>
    <w:rsid w:val="00CF160D"/>
    <w:rsid w:val="00CF1662"/>
    <w:rsid w:val="00CF1861"/>
    <w:rsid w:val="00D011D8"/>
    <w:rsid w:val="00D01B3B"/>
    <w:rsid w:val="00D06220"/>
    <w:rsid w:val="00D12167"/>
    <w:rsid w:val="00D13DAD"/>
    <w:rsid w:val="00D15F92"/>
    <w:rsid w:val="00D1664E"/>
    <w:rsid w:val="00D22F48"/>
    <w:rsid w:val="00D232E4"/>
    <w:rsid w:val="00D24CFE"/>
    <w:rsid w:val="00D2701A"/>
    <w:rsid w:val="00D3593B"/>
    <w:rsid w:val="00D37188"/>
    <w:rsid w:val="00D41978"/>
    <w:rsid w:val="00D42088"/>
    <w:rsid w:val="00D42CD3"/>
    <w:rsid w:val="00D43DBF"/>
    <w:rsid w:val="00D43DC3"/>
    <w:rsid w:val="00D456BE"/>
    <w:rsid w:val="00D45904"/>
    <w:rsid w:val="00D510ED"/>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76EE5"/>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646"/>
    <w:rsid w:val="00DD3851"/>
    <w:rsid w:val="00DE3174"/>
    <w:rsid w:val="00DE48C3"/>
    <w:rsid w:val="00DE4CE1"/>
    <w:rsid w:val="00DF2BFA"/>
    <w:rsid w:val="00DF5EA7"/>
    <w:rsid w:val="00DF60CC"/>
    <w:rsid w:val="00DF7E9B"/>
    <w:rsid w:val="00E001E3"/>
    <w:rsid w:val="00E00855"/>
    <w:rsid w:val="00E03189"/>
    <w:rsid w:val="00E06927"/>
    <w:rsid w:val="00E0775B"/>
    <w:rsid w:val="00E11451"/>
    <w:rsid w:val="00E12F4F"/>
    <w:rsid w:val="00E1438A"/>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56924"/>
    <w:rsid w:val="00E6190A"/>
    <w:rsid w:val="00E6194C"/>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866EE"/>
    <w:rsid w:val="00E94BFA"/>
    <w:rsid w:val="00E955A7"/>
    <w:rsid w:val="00EA1C0A"/>
    <w:rsid w:val="00EA31AE"/>
    <w:rsid w:val="00EB107D"/>
    <w:rsid w:val="00EB3AB4"/>
    <w:rsid w:val="00EB3CC7"/>
    <w:rsid w:val="00EB633D"/>
    <w:rsid w:val="00EC28C4"/>
    <w:rsid w:val="00EC30C0"/>
    <w:rsid w:val="00EC40FA"/>
    <w:rsid w:val="00EC5B7E"/>
    <w:rsid w:val="00EC671A"/>
    <w:rsid w:val="00EC714D"/>
    <w:rsid w:val="00EC7F9C"/>
    <w:rsid w:val="00ED3852"/>
    <w:rsid w:val="00ED4BA0"/>
    <w:rsid w:val="00ED5BA8"/>
    <w:rsid w:val="00ED63A1"/>
    <w:rsid w:val="00ED7D67"/>
    <w:rsid w:val="00EE13C5"/>
    <w:rsid w:val="00EE277E"/>
    <w:rsid w:val="00EE35F8"/>
    <w:rsid w:val="00EE3697"/>
    <w:rsid w:val="00EE3D15"/>
    <w:rsid w:val="00EE5EBB"/>
    <w:rsid w:val="00EE78FE"/>
    <w:rsid w:val="00EF0999"/>
    <w:rsid w:val="00EF0C84"/>
    <w:rsid w:val="00EF137B"/>
    <w:rsid w:val="00EF215E"/>
    <w:rsid w:val="00EF2CEC"/>
    <w:rsid w:val="00EF6639"/>
    <w:rsid w:val="00EF6DAD"/>
    <w:rsid w:val="00F003C4"/>
    <w:rsid w:val="00F00755"/>
    <w:rsid w:val="00F00930"/>
    <w:rsid w:val="00F0361A"/>
    <w:rsid w:val="00F116CC"/>
    <w:rsid w:val="00F13799"/>
    <w:rsid w:val="00F16AC8"/>
    <w:rsid w:val="00F212CF"/>
    <w:rsid w:val="00F2179B"/>
    <w:rsid w:val="00F2231C"/>
    <w:rsid w:val="00F22A1F"/>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161A"/>
    <w:rsid w:val="00F60469"/>
    <w:rsid w:val="00F6247B"/>
    <w:rsid w:val="00F63B80"/>
    <w:rsid w:val="00F70BAD"/>
    <w:rsid w:val="00F73268"/>
    <w:rsid w:val="00F739CE"/>
    <w:rsid w:val="00F74C2B"/>
    <w:rsid w:val="00F80208"/>
    <w:rsid w:val="00F81E21"/>
    <w:rsid w:val="00F8370A"/>
    <w:rsid w:val="00F83B23"/>
    <w:rsid w:val="00F83DFF"/>
    <w:rsid w:val="00F842ED"/>
    <w:rsid w:val="00F84EE5"/>
    <w:rsid w:val="00F873B2"/>
    <w:rsid w:val="00F87913"/>
    <w:rsid w:val="00FA18EA"/>
    <w:rsid w:val="00FA2C50"/>
    <w:rsid w:val="00FA3268"/>
    <w:rsid w:val="00FA3F55"/>
    <w:rsid w:val="00FA65F6"/>
    <w:rsid w:val="00FA7090"/>
    <w:rsid w:val="00FA7C12"/>
    <w:rsid w:val="00FB0A89"/>
    <w:rsid w:val="00FB2BBC"/>
    <w:rsid w:val="00FB3FD3"/>
    <w:rsid w:val="00FB56C7"/>
    <w:rsid w:val="00FB6131"/>
    <w:rsid w:val="00FB6FB4"/>
    <w:rsid w:val="00FB7658"/>
    <w:rsid w:val="00FC0CED"/>
    <w:rsid w:val="00FC205F"/>
    <w:rsid w:val="00FC33FA"/>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2A2E2"/>
  <w15:docId w15:val="{9E17B81C-2CA5-47F5-AA6B-BF33D4DC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00848">
      <w:bodyDiv w:val="1"/>
      <w:marLeft w:val="0"/>
      <w:marRight w:val="0"/>
      <w:marTop w:val="0"/>
      <w:marBottom w:val="0"/>
      <w:divBdr>
        <w:top w:val="none" w:sz="0" w:space="0" w:color="auto"/>
        <w:left w:val="none" w:sz="0" w:space="0" w:color="auto"/>
        <w:bottom w:val="none" w:sz="0" w:space="0" w:color="auto"/>
        <w:right w:val="none" w:sz="0" w:space="0" w:color="auto"/>
      </w:divBdr>
    </w:div>
    <w:div w:id="33188381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oleObject" Target="embeddings/Microsoft_Visio_2003-2010_Drawing1.vsd"/><Relationship Id="rId39" Type="http://schemas.openxmlformats.org/officeDocument/2006/relationships/image" Target="media/image13.png"/><Relationship Id="rId21" Type="http://schemas.openxmlformats.org/officeDocument/2006/relationships/image" Target="media/image2.emf"/><Relationship Id="rId34" Type="http://schemas.openxmlformats.org/officeDocument/2006/relationships/oleObject" Target="embeddings/Microsoft_Visio_2003-2010_Drawing5.vsd"/><Relationship Id="rId42" Type="http://schemas.openxmlformats.org/officeDocument/2006/relationships/image" Target="media/image16.png"/><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oleObject" Target="embeddings/Microsoft_Visio_2003-2010_Drawing4.vsd"/><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jpeg"/><Relationship Id="rId28" Type="http://schemas.openxmlformats.org/officeDocument/2006/relationships/oleObject" Target="embeddings/Microsoft_Visio_2003-2010_Drawing2.vsd"/><Relationship Id="rId36" Type="http://schemas.openxmlformats.org/officeDocument/2006/relationships/oleObject" Target="embeddings/Microsoft_Visio_2003-2010_Drawing6.vsd"/><Relationship Id="rId10" Type="http://schemas.openxmlformats.org/officeDocument/2006/relationships/footnotes" Target="footnotes.xml"/><Relationship Id="rId19" Type="http://schemas.openxmlformats.org/officeDocument/2006/relationships/hyperlink" Target="http://www.iso20022.org/bah.page" TargetMode="External"/><Relationship Id="rId31" Type="http://schemas.openxmlformats.org/officeDocument/2006/relationships/image" Target="media/image8.emf"/><Relationship Id="rId44"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oleObject" Target="embeddings/Microsoft_Visio_2003-2010_Drawing.vsd"/><Relationship Id="rId27" Type="http://schemas.openxmlformats.org/officeDocument/2006/relationships/image" Target="media/image6.emf"/><Relationship Id="rId30" Type="http://schemas.openxmlformats.org/officeDocument/2006/relationships/oleObject" Target="embeddings/Microsoft_Visio_2003-2010_Drawing3.vsd"/><Relationship Id="rId35" Type="http://schemas.openxmlformats.org/officeDocument/2006/relationships/image" Target="media/image10.emf"/><Relationship Id="rId43" Type="http://schemas.openxmlformats.org/officeDocument/2006/relationships/image" Target="media/image17.png"/><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5.emf"/><Relationship Id="rId33" Type="http://schemas.openxmlformats.org/officeDocument/2006/relationships/image" Target="media/image9.emf"/><Relationship Id="rId38" Type="http://schemas.openxmlformats.org/officeDocument/2006/relationships/image" Target="media/image12.png"/><Relationship Id="rId46" Type="http://schemas.openxmlformats.org/officeDocument/2006/relationships/theme" Target="theme/theme1.xml"/><Relationship Id="rId20" Type="http://schemas.openxmlformats.org/officeDocument/2006/relationships/image" Target="media/image1.png"/><Relationship Id="rId4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MSKTH6SNCJSU-2018047209-56734</_dlc_DocId>
    <_dlc_DocIdUrl xmlns="806285ac-449a-4fb1-8311-58d88e150cc7">
      <Url>https://swiftcorp.sharepoint.com/sites/ps-ow-standards team/_layouts/15/DocIdRedir.aspx?ID=MSKTH6SNCJSU-2018047209-56734</Url>
      <Description>MSKTH6SNCJSU-2018047209-56734</Description>
    </_dlc_DocIdUrl>
  </documentManagement>
</p:properties>
</file>

<file path=customXml/itemProps1.xml><?xml version="1.0" encoding="utf-8"?>
<ds:datastoreItem xmlns:ds="http://schemas.openxmlformats.org/officeDocument/2006/customXml" ds:itemID="{565A84B0-B3E8-4AF1-A85F-E298EF026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C5AEA-D529-47C5-BDB1-5490488E5339}">
  <ds:schemaRefs>
    <ds:schemaRef ds:uri="http://schemas.microsoft.com/sharepoint/events"/>
  </ds:schemaRefs>
</ds:datastoreItem>
</file>

<file path=customXml/itemProps3.xml><?xml version="1.0" encoding="utf-8"?>
<ds:datastoreItem xmlns:ds="http://schemas.openxmlformats.org/officeDocument/2006/customXml" ds:itemID="{0C0FFB84-AC39-494C-A5C2-370DCC37C460}">
  <ds:schemaRefs>
    <ds:schemaRef ds:uri="http://schemas.openxmlformats.org/officeDocument/2006/bibliography"/>
  </ds:schemaRefs>
</ds:datastoreItem>
</file>

<file path=customXml/itemProps4.xml><?xml version="1.0" encoding="utf-8"?>
<ds:datastoreItem xmlns:ds="http://schemas.openxmlformats.org/officeDocument/2006/customXml" ds:itemID="{150E531F-D99C-4004-BD0C-9C68BD194763}">
  <ds:schemaRefs>
    <ds:schemaRef ds:uri="http://schemas.microsoft.com/sharepoint/v3/contenttype/forms"/>
  </ds:schemaRefs>
</ds:datastoreItem>
</file>

<file path=customXml/itemProps5.xml><?xml version="1.0" encoding="utf-8"?>
<ds:datastoreItem xmlns:ds="http://schemas.openxmlformats.org/officeDocument/2006/customXml" ds:itemID="{52DF07DE-BFF7-4D92-82C8-D53F2FF06174}">
  <ds:schemaRefs>
    <ds:schemaRef ds:uri="http://schemas.microsoft.com/office/2006/metadata/properties"/>
    <ds:schemaRef ds:uri="http://schemas.microsoft.com/office/infopath/2007/PartnerControls"/>
    <ds:schemaRef ds:uri="806285ac-449a-4fb1-8311-58d88e150cc7"/>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27</TotalTime>
  <Pages>31</Pages>
  <Words>5439</Words>
  <Characters>31006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36373</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KUNTZ Vincent</cp:lastModifiedBy>
  <cp:revision>7</cp:revision>
  <cp:lastPrinted>2012-01-27T10:08:00Z</cp:lastPrinted>
  <dcterms:created xsi:type="dcterms:W3CDTF">2025-02-17T14:33:00Z</dcterms:created>
  <dcterms:modified xsi:type="dcterms:W3CDTF">2025-03-01T20:14:00Z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0x010100AF2170D587CC8448838EF09DB853D25F</vt:lpwstr>
  </property>
  <property fmtid="{D5CDD505-2E9C-101B-9397-08002B2CF9AE}" pid="7" name="_dlc_DocIdItemGuid">
    <vt:lpwstr>ca84f455-2c23-4157-8733-dac3a3f06ece</vt:lpwstr>
  </property>
  <property fmtid="{D5CDD505-2E9C-101B-9397-08002B2CF9AE}" pid="8" name="MSIP_Label_4868b825-edee-44ac-b7a2-e857f0213f31_Enabled">
    <vt:lpwstr>true</vt:lpwstr>
  </property>
  <property fmtid="{D5CDD505-2E9C-101B-9397-08002B2CF9AE}" pid="9" name="MSIP_Label_4868b825-edee-44ac-b7a2-e857f0213f31_SetDate">
    <vt:lpwstr>2022-11-22T12:34:52Z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f0fd7a44-095c-4e0b-a57b-8db55d754c8c</vt:lpwstr>
  </property>
  <property fmtid="{D5CDD505-2E9C-101B-9397-08002B2CF9AE}" pid="14" name="MSIP_Label_4868b825-edee-44ac-b7a2-e857f0213f31_ContentBits">
    <vt:lpwstr>0</vt:lpwstr>
  </property>
</Properties>
</file>